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32114" w14:textId="77777777" w:rsidR="00A7712E" w:rsidRPr="00A7712E" w:rsidRDefault="00A7712E" w:rsidP="00A7712E">
      <w:pPr>
        <w:spacing w:after="0" w:line="240" w:lineRule="auto"/>
        <w:jc w:val="center"/>
        <w:rPr>
          <w:rFonts w:ascii="Arial" w:eastAsia="Times New Roman" w:hAnsi="Arial" w:cs="Arial"/>
          <w:color w:val="000000"/>
          <w:sz w:val="18"/>
          <w:szCs w:val="18"/>
          <w:lang w:eastAsia="es-CO"/>
        </w:rPr>
      </w:pPr>
      <w:r w:rsidRPr="00A7712E">
        <w:rPr>
          <w:rFonts w:ascii="Segoe UI" w:eastAsia="Times New Roman" w:hAnsi="Segoe UI" w:cs="Segoe UI"/>
          <w:b/>
          <w:bCs/>
          <w:color w:val="0000FF"/>
          <w:sz w:val="28"/>
          <w:szCs w:val="28"/>
          <w:lang w:eastAsia="es-CO"/>
        </w:rPr>
        <w:t>CONSEJO DE ESTADO</w:t>
      </w:r>
    </w:p>
    <w:p w14:paraId="09D8E578" w14:textId="77777777" w:rsidR="00A7712E" w:rsidRPr="00A7712E" w:rsidRDefault="00A7712E" w:rsidP="00A7712E">
      <w:pPr>
        <w:spacing w:after="0" w:line="240" w:lineRule="auto"/>
        <w:jc w:val="center"/>
        <w:rPr>
          <w:rFonts w:ascii="Arial" w:eastAsia="Times New Roman" w:hAnsi="Arial" w:cs="Arial"/>
          <w:color w:val="000000"/>
          <w:sz w:val="18"/>
          <w:szCs w:val="18"/>
          <w:lang w:eastAsia="es-CO"/>
        </w:rPr>
      </w:pPr>
      <w:r w:rsidRPr="00A7712E">
        <w:rPr>
          <w:rFonts w:ascii="Segoe UI" w:eastAsia="Times New Roman" w:hAnsi="Segoe UI" w:cs="Segoe UI"/>
          <w:b/>
          <w:bCs/>
          <w:color w:val="0000FF"/>
          <w:sz w:val="28"/>
          <w:szCs w:val="28"/>
          <w:lang w:eastAsia="es-CO"/>
        </w:rPr>
        <w:t>SALA DE LO CONTENCIOSO ADMINISTRATIVO</w:t>
      </w:r>
    </w:p>
    <w:p w14:paraId="60E7E0F8" w14:textId="77777777" w:rsidR="00A7712E" w:rsidRPr="00A7712E" w:rsidRDefault="00A7712E" w:rsidP="00A7712E">
      <w:pPr>
        <w:spacing w:after="0" w:line="240" w:lineRule="auto"/>
        <w:jc w:val="center"/>
        <w:rPr>
          <w:rFonts w:ascii="Arial" w:eastAsia="Times New Roman" w:hAnsi="Arial" w:cs="Arial"/>
          <w:color w:val="000000"/>
          <w:sz w:val="18"/>
          <w:szCs w:val="18"/>
          <w:lang w:eastAsia="es-CO"/>
        </w:rPr>
      </w:pPr>
      <w:r w:rsidRPr="00A7712E">
        <w:rPr>
          <w:rFonts w:ascii="Segoe UI" w:eastAsia="Times New Roman" w:hAnsi="Segoe UI" w:cs="Segoe UI"/>
          <w:b/>
          <w:bCs/>
          <w:color w:val="0000FF"/>
          <w:sz w:val="28"/>
          <w:szCs w:val="28"/>
          <w:lang w:eastAsia="es-CO"/>
        </w:rPr>
        <w:t>SECCIÓN CUARTA</w:t>
      </w:r>
    </w:p>
    <w:p w14:paraId="3AAE62A9" w14:textId="77777777" w:rsidR="00A7712E" w:rsidRPr="00A7712E" w:rsidRDefault="00A7712E" w:rsidP="00A7712E">
      <w:pPr>
        <w:spacing w:after="0" w:line="240" w:lineRule="auto"/>
        <w:jc w:val="center"/>
        <w:rPr>
          <w:rFonts w:ascii="Arial" w:eastAsia="Times New Roman" w:hAnsi="Arial" w:cs="Arial"/>
          <w:color w:val="000000"/>
          <w:sz w:val="18"/>
          <w:szCs w:val="18"/>
          <w:lang w:eastAsia="es-CO"/>
        </w:rPr>
      </w:pPr>
      <w:r w:rsidRPr="00A7712E">
        <w:rPr>
          <w:rFonts w:ascii="Segoe UI" w:eastAsia="Times New Roman" w:hAnsi="Segoe UI" w:cs="Segoe UI"/>
          <w:b/>
          <w:bCs/>
          <w:color w:val="0000FF"/>
          <w:sz w:val="28"/>
          <w:szCs w:val="28"/>
          <w:lang w:eastAsia="es-CO"/>
        </w:rPr>
        <w:t> </w:t>
      </w:r>
    </w:p>
    <w:p w14:paraId="4F0BBBB2" w14:textId="77777777" w:rsidR="00A7712E" w:rsidRPr="00A7712E" w:rsidRDefault="00A7712E" w:rsidP="00A7712E">
      <w:pPr>
        <w:spacing w:after="0" w:line="240" w:lineRule="auto"/>
        <w:jc w:val="center"/>
        <w:rPr>
          <w:rFonts w:ascii="Arial" w:eastAsia="Times New Roman" w:hAnsi="Arial" w:cs="Arial"/>
          <w:color w:val="000000"/>
          <w:sz w:val="18"/>
          <w:szCs w:val="18"/>
          <w:lang w:eastAsia="es-CO"/>
        </w:rPr>
      </w:pPr>
      <w:r w:rsidRPr="00A7712E">
        <w:rPr>
          <w:rFonts w:ascii="Segoe UI" w:eastAsia="Times New Roman" w:hAnsi="Segoe UI" w:cs="Segoe UI"/>
          <w:b/>
          <w:bCs/>
          <w:color w:val="0000FF"/>
          <w:sz w:val="28"/>
          <w:szCs w:val="28"/>
          <w:lang w:eastAsia="es-CO"/>
        </w:rPr>
        <w:t>CONSEJERO PONENTE: MILTON CHAVES GARCÍA</w:t>
      </w:r>
    </w:p>
    <w:p w14:paraId="102C6E63" w14:textId="77777777" w:rsidR="00A7712E" w:rsidRPr="00A7712E" w:rsidRDefault="00A7712E" w:rsidP="00A7712E">
      <w:pPr>
        <w:spacing w:after="0" w:line="240" w:lineRule="auto"/>
        <w:jc w:val="center"/>
        <w:rPr>
          <w:rFonts w:ascii="Arial" w:eastAsia="Times New Roman" w:hAnsi="Arial" w:cs="Arial"/>
          <w:color w:val="000000"/>
          <w:sz w:val="18"/>
          <w:szCs w:val="18"/>
          <w:lang w:eastAsia="es-CO"/>
        </w:rPr>
      </w:pPr>
      <w:r w:rsidRPr="00A7712E">
        <w:rPr>
          <w:rFonts w:ascii="Segoe UI" w:eastAsia="Times New Roman" w:hAnsi="Segoe UI" w:cs="Segoe UI"/>
          <w:b/>
          <w:bCs/>
          <w:color w:val="0000FF"/>
          <w:sz w:val="28"/>
          <w:szCs w:val="28"/>
          <w:lang w:eastAsia="es-CO"/>
        </w:rPr>
        <w:t>Bogotá, D.C., diecisiete (17) de marzo de dos mil veintidós (2022)</w:t>
      </w:r>
    </w:p>
    <w:p w14:paraId="139393D3" w14:textId="77777777" w:rsidR="00A7712E" w:rsidRPr="00A7712E" w:rsidRDefault="00A7712E" w:rsidP="00A7712E">
      <w:pPr>
        <w:spacing w:after="0" w:line="240" w:lineRule="auto"/>
        <w:jc w:val="center"/>
        <w:rPr>
          <w:rFonts w:ascii="Arial" w:eastAsia="Times New Roman" w:hAnsi="Arial" w:cs="Arial"/>
          <w:color w:val="000000"/>
          <w:sz w:val="18"/>
          <w:szCs w:val="18"/>
          <w:lang w:eastAsia="es-CO"/>
        </w:rPr>
      </w:pPr>
      <w:r w:rsidRPr="00A7712E">
        <w:rPr>
          <w:rFonts w:ascii="Segoe UI" w:eastAsia="Times New Roman" w:hAnsi="Segoe UI" w:cs="Segoe UI"/>
          <w:b/>
          <w:bCs/>
          <w:color w:val="0000FF"/>
          <w:sz w:val="28"/>
          <w:szCs w:val="28"/>
          <w:lang w:eastAsia="es-CO"/>
        </w:rPr>
        <w:t>Referencia: MEDIO DE CONTROL DE NULIDAD Y RESTABLECIMIENTO</w:t>
      </w:r>
    </w:p>
    <w:p w14:paraId="1F9AC08C" w14:textId="77777777" w:rsidR="00A7712E" w:rsidRPr="00A7712E" w:rsidRDefault="00A7712E" w:rsidP="00A7712E">
      <w:pPr>
        <w:spacing w:after="0" w:line="240" w:lineRule="auto"/>
        <w:jc w:val="center"/>
        <w:rPr>
          <w:rFonts w:ascii="Arial" w:eastAsia="Times New Roman" w:hAnsi="Arial" w:cs="Arial"/>
          <w:color w:val="000000"/>
          <w:sz w:val="18"/>
          <w:szCs w:val="18"/>
          <w:lang w:eastAsia="es-CO"/>
        </w:rPr>
      </w:pPr>
      <w:r w:rsidRPr="00A7712E">
        <w:rPr>
          <w:rFonts w:ascii="Segoe UI" w:eastAsia="Times New Roman" w:hAnsi="Segoe UI" w:cs="Segoe UI"/>
          <w:b/>
          <w:bCs/>
          <w:color w:val="0000FF"/>
          <w:sz w:val="28"/>
          <w:szCs w:val="28"/>
          <w:lang w:eastAsia="es-CO"/>
        </w:rPr>
        <w:t>DEL DERECHO</w:t>
      </w:r>
    </w:p>
    <w:p w14:paraId="0ED98BDC" w14:textId="37EC9011" w:rsidR="00A7712E" w:rsidRPr="00A7712E" w:rsidRDefault="00A7712E" w:rsidP="00A7712E">
      <w:pPr>
        <w:spacing w:after="0" w:line="240" w:lineRule="auto"/>
        <w:jc w:val="center"/>
        <w:rPr>
          <w:rFonts w:ascii="Arial" w:eastAsia="Times New Roman" w:hAnsi="Arial" w:cs="Arial"/>
          <w:color w:val="000000"/>
          <w:sz w:val="18"/>
          <w:szCs w:val="18"/>
          <w:lang w:eastAsia="es-CO"/>
        </w:rPr>
      </w:pPr>
      <w:r w:rsidRPr="00A7712E">
        <w:rPr>
          <w:rFonts w:ascii="Segoe UI" w:eastAsia="Times New Roman" w:hAnsi="Segoe UI" w:cs="Segoe UI"/>
          <w:b/>
          <w:bCs/>
          <w:color w:val="0000FF"/>
          <w:sz w:val="28"/>
          <w:szCs w:val="28"/>
          <w:lang w:eastAsia="es-CO"/>
        </w:rPr>
        <w:t>Radicación: 25000-23-37-000-2017-01488-01 [25462]</w:t>
      </w:r>
    </w:p>
    <w:p w14:paraId="4AD737F6" w14:textId="77777777" w:rsidR="00A7712E" w:rsidRPr="00A7712E" w:rsidRDefault="00A7712E" w:rsidP="00A7712E">
      <w:pPr>
        <w:spacing w:after="0" w:line="240" w:lineRule="auto"/>
        <w:jc w:val="center"/>
        <w:rPr>
          <w:rFonts w:ascii="Arial" w:eastAsia="Times New Roman" w:hAnsi="Arial" w:cs="Arial"/>
          <w:color w:val="000000"/>
          <w:sz w:val="18"/>
          <w:szCs w:val="18"/>
          <w:lang w:eastAsia="es-CO"/>
        </w:rPr>
      </w:pPr>
      <w:r w:rsidRPr="00A7712E">
        <w:rPr>
          <w:rFonts w:ascii="Segoe UI" w:eastAsia="Times New Roman" w:hAnsi="Segoe UI" w:cs="Segoe UI"/>
          <w:b/>
          <w:bCs/>
          <w:color w:val="0000FF"/>
          <w:sz w:val="28"/>
          <w:szCs w:val="28"/>
          <w:lang w:eastAsia="es-CO"/>
        </w:rPr>
        <w:t>Demandante: JULIO ALBERTO RODRÍGUEZ PRIETO</w:t>
      </w:r>
    </w:p>
    <w:p w14:paraId="3D8AA552" w14:textId="77777777" w:rsidR="00A7712E" w:rsidRPr="00A7712E" w:rsidRDefault="00A7712E" w:rsidP="00A7712E">
      <w:pPr>
        <w:spacing w:after="0" w:line="240" w:lineRule="auto"/>
        <w:jc w:val="center"/>
        <w:rPr>
          <w:rFonts w:ascii="Arial" w:eastAsia="Times New Roman" w:hAnsi="Arial" w:cs="Arial"/>
          <w:color w:val="000000"/>
          <w:sz w:val="18"/>
          <w:szCs w:val="18"/>
          <w:lang w:eastAsia="es-CO"/>
        </w:rPr>
      </w:pPr>
      <w:r w:rsidRPr="00A7712E">
        <w:rPr>
          <w:rFonts w:ascii="Segoe UI" w:eastAsia="Times New Roman" w:hAnsi="Segoe UI" w:cs="Segoe UI"/>
          <w:b/>
          <w:bCs/>
          <w:color w:val="0000FF"/>
          <w:sz w:val="28"/>
          <w:szCs w:val="28"/>
          <w:lang w:eastAsia="es-CO"/>
        </w:rPr>
        <w:t>Demandado: U.A.E. DIAN</w:t>
      </w:r>
    </w:p>
    <w:p w14:paraId="0AF5032C" w14:textId="77777777" w:rsidR="00A7712E" w:rsidRPr="00A7712E" w:rsidRDefault="00A7712E" w:rsidP="00A7712E">
      <w:pPr>
        <w:spacing w:after="0" w:line="240" w:lineRule="auto"/>
        <w:jc w:val="center"/>
        <w:rPr>
          <w:rFonts w:ascii="Arial" w:eastAsia="Times New Roman" w:hAnsi="Arial" w:cs="Arial"/>
          <w:color w:val="000000"/>
          <w:sz w:val="18"/>
          <w:szCs w:val="18"/>
          <w:lang w:eastAsia="es-CO"/>
        </w:rPr>
      </w:pPr>
      <w:r w:rsidRPr="00A7712E">
        <w:rPr>
          <w:rFonts w:ascii="Segoe UI" w:eastAsia="Times New Roman" w:hAnsi="Segoe UI" w:cs="Segoe UI"/>
          <w:b/>
          <w:bCs/>
          <w:color w:val="0000FF"/>
          <w:sz w:val="28"/>
          <w:szCs w:val="28"/>
          <w:lang w:eastAsia="es-CO"/>
        </w:rPr>
        <w:t>Temas: Renta 2013. Sanción por inexactitud. Favorabilidad. Interés para recurrir.</w:t>
      </w:r>
    </w:p>
    <w:p w14:paraId="7487744A" w14:textId="77777777" w:rsidR="00A7712E" w:rsidRPr="00A7712E" w:rsidRDefault="00A7712E" w:rsidP="00A7712E">
      <w:pPr>
        <w:spacing w:after="0" w:line="240" w:lineRule="auto"/>
        <w:jc w:val="center"/>
        <w:rPr>
          <w:rFonts w:ascii="Arial" w:eastAsia="Times New Roman" w:hAnsi="Arial" w:cs="Arial"/>
          <w:color w:val="000000"/>
          <w:sz w:val="18"/>
          <w:szCs w:val="18"/>
          <w:lang w:eastAsia="es-CO"/>
        </w:rPr>
      </w:pPr>
      <w:r w:rsidRPr="00A7712E">
        <w:rPr>
          <w:rFonts w:ascii="Segoe UI" w:eastAsia="Times New Roman" w:hAnsi="Segoe UI" w:cs="Segoe UI"/>
          <w:b/>
          <w:bCs/>
          <w:color w:val="0000FF"/>
          <w:sz w:val="28"/>
          <w:szCs w:val="28"/>
          <w:lang w:eastAsia="es-CO"/>
        </w:rPr>
        <w:t> </w:t>
      </w:r>
    </w:p>
    <w:p w14:paraId="0B853BC3" w14:textId="77777777" w:rsidR="00A7712E" w:rsidRPr="00A7712E" w:rsidRDefault="00A7712E" w:rsidP="00A7712E">
      <w:pPr>
        <w:spacing w:after="0" w:line="240" w:lineRule="auto"/>
        <w:jc w:val="center"/>
        <w:rPr>
          <w:rFonts w:ascii="Arial" w:eastAsia="Times New Roman" w:hAnsi="Arial" w:cs="Arial"/>
          <w:color w:val="000000"/>
          <w:sz w:val="18"/>
          <w:szCs w:val="18"/>
          <w:lang w:eastAsia="es-CO"/>
        </w:rPr>
      </w:pPr>
      <w:r w:rsidRPr="00A7712E">
        <w:rPr>
          <w:rFonts w:ascii="Segoe UI" w:eastAsia="Times New Roman" w:hAnsi="Segoe UI" w:cs="Segoe UI"/>
          <w:b/>
          <w:bCs/>
          <w:color w:val="0000FF"/>
          <w:sz w:val="28"/>
          <w:szCs w:val="28"/>
          <w:lang w:eastAsia="es-CO"/>
        </w:rPr>
        <w:t>SENTENCIA DE SEGUNDA INSTANCIA</w:t>
      </w:r>
    </w:p>
    <w:p w14:paraId="11526B81" w14:textId="77777777" w:rsidR="00A7712E" w:rsidRPr="00A7712E" w:rsidRDefault="00A7712E" w:rsidP="00A7712E">
      <w:pPr>
        <w:spacing w:after="0" w:line="240" w:lineRule="auto"/>
        <w:jc w:val="center"/>
        <w:rPr>
          <w:rFonts w:ascii="Arial" w:eastAsia="Times New Roman" w:hAnsi="Arial" w:cs="Arial"/>
          <w:color w:val="000000"/>
          <w:sz w:val="18"/>
          <w:szCs w:val="18"/>
          <w:lang w:eastAsia="es-CO"/>
        </w:rPr>
      </w:pPr>
      <w:r w:rsidRPr="00A7712E">
        <w:rPr>
          <w:rFonts w:ascii="Segoe UI" w:eastAsia="Times New Roman" w:hAnsi="Segoe UI" w:cs="Segoe UI"/>
          <w:b/>
          <w:bCs/>
          <w:color w:val="000000"/>
          <w:sz w:val="22"/>
          <w:lang w:eastAsia="es-CO"/>
        </w:rPr>
        <w:t> </w:t>
      </w:r>
    </w:p>
    <w:p w14:paraId="21F2E82A" w14:textId="77777777" w:rsidR="00A7712E" w:rsidRPr="00A7712E" w:rsidRDefault="00A7712E" w:rsidP="00A7712E">
      <w:pPr>
        <w:spacing w:after="0" w:line="240" w:lineRule="auto"/>
        <w:jc w:val="center"/>
        <w:rPr>
          <w:rFonts w:ascii="Arial" w:eastAsia="Times New Roman" w:hAnsi="Arial" w:cs="Arial"/>
          <w:color w:val="000000"/>
          <w:sz w:val="18"/>
          <w:szCs w:val="18"/>
          <w:lang w:eastAsia="es-CO"/>
        </w:rPr>
      </w:pPr>
      <w:r w:rsidRPr="00A7712E">
        <w:rPr>
          <w:rFonts w:ascii="Segoe UI" w:eastAsia="Times New Roman" w:hAnsi="Segoe UI" w:cs="Segoe UI"/>
          <w:b/>
          <w:bCs/>
          <w:color w:val="000000"/>
          <w:sz w:val="22"/>
          <w:lang w:eastAsia="es-CO"/>
        </w:rPr>
        <w:t> </w:t>
      </w:r>
    </w:p>
    <w:p w14:paraId="7EC164DA" w14:textId="77777777" w:rsidR="00A7712E" w:rsidRPr="00A7712E" w:rsidRDefault="00A7712E" w:rsidP="00A7712E">
      <w:pPr>
        <w:spacing w:after="0" w:line="240" w:lineRule="auto"/>
        <w:jc w:val="center"/>
        <w:rPr>
          <w:rFonts w:ascii="Arial" w:eastAsia="Times New Roman" w:hAnsi="Arial" w:cs="Arial"/>
          <w:color w:val="000000"/>
          <w:sz w:val="18"/>
          <w:szCs w:val="18"/>
          <w:lang w:eastAsia="es-CO"/>
        </w:rPr>
      </w:pPr>
      <w:hyperlink r:id="rId4" w:history="1">
        <w:r w:rsidRPr="00A7712E">
          <w:rPr>
            <w:rFonts w:ascii="Segoe UI" w:eastAsia="Times New Roman" w:hAnsi="Segoe UI" w:cs="Segoe UI"/>
            <w:b/>
            <w:bCs/>
            <w:color w:val="0000FF"/>
            <w:sz w:val="22"/>
            <w:u w:val="single"/>
            <w:lang w:eastAsia="es-CO"/>
          </w:rPr>
          <w:t xml:space="preserve">Ver sentencia en </w:t>
        </w:r>
        <w:proofErr w:type="spellStart"/>
        <w:r w:rsidRPr="00A7712E">
          <w:rPr>
            <w:rFonts w:ascii="Segoe UI" w:eastAsia="Times New Roman" w:hAnsi="Segoe UI" w:cs="Segoe UI"/>
            <w:b/>
            <w:bCs/>
            <w:color w:val="0000FF"/>
            <w:sz w:val="22"/>
            <w:u w:val="single"/>
            <w:lang w:eastAsia="es-CO"/>
          </w:rPr>
          <w:t>pdf</w:t>
        </w:r>
        <w:proofErr w:type="spellEnd"/>
      </w:hyperlink>
    </w:p>
    <w:p w14:paraId="5C46F7FA"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b/>
          <w:bCs/>
          <w:color w:val="000000"/>
          <w:sz w:val="22"/>
          <w:lang w:eastAsia="es-CO"/>
        </w:rPr>
        <w:t> </w:t>
      </w:r>
    </w:p>
    <w:p w14:paraId="29A42A88"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b/>
          <w:bCs/>
          <w:color w:val="000000"/>
          <w:sz w:val="22"/>
          <w:lang w:eastAsia="es-CO"/>
        </w:rPr>
        <w:t> </w:t>
      </w:r>
    </w:p>
    <w:p w14:paraId="1A006EC9"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La Sala decide el recurso de apelación interpuesto por la demandada contra la sentencia de 19 de febrero de 2020, proferida por el Tribunal Administrativo de Cundinamarca, Sección Cuarta, Subsección A, que resolvió:</w:t>
      </w:r>
    </w:p>
    <w:p w14:paraId="1DA6E485"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 </w:t>
      </w:r>
    </w:p>
    <w:p w14:paraId="26999171" w14:textId="77777777" w:rsidR="00A7712E" w:rsidRPr="00A7712E" w:rsidRDefault="00A7712E" w:rsidP="00A7712E">
      <w:pPr>
        <w:spacing w:after="0" w:line="240" w:lineRule="auto"/>
        <w:ind w:left="284"/>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18"/>
          <w:szCs w:val="18"/>
          <w:lang w:eastAsia="es-CO"/>
        </w:rPr>
        <w:t>“</w:t>
      </w:r>
      <w:r w:rsidRPr="00A7712E">
        <w:rPr>
          <w:rFonts w:ascii="Segoe UI" w:eastAsia="Times New Roman" w:hAnsi="Segoe UI" w:cs="Segoe UI"/>
          <w:b/>
          <w:bCs/>
          <w:i/>
          <w:iCs/>
          <w:color w:val="000000"/>
          <w:sz w:val="18"/>
          <w:szCs w:val="18"/>
          <w:lang w:eastAsia="es-CO"/>
        </w:rPr>
        <w:t>PRIMERO:</w:t>
      </w:r>
      <w:r w:rsidRPr="00A7712E">
        <w:rPr>
          <w:rFonts w:ascii="Segoe UI" w:eastAsia="Times New Roman" w:hAnsi="Segoe UI" w:cs="Segoe UI"/>
          <w:i/>
          <w:iCs/>
          <w:color w:val="000000"/>
          <w:sz w:val="18"/>
          <w:szCs w:val="18"/>
          <w:lang w:eastAsia="es-CO"/>
        </w:rPr>
        <w:t> DECLÁRASE la nulidad parcial de la Resolución No. 322412017000112 del 30 de mayo de 2017, mediante la cual la División de Gestión de Liquidación de la Dirección Seccional de Impuestos de Bogotá de la DIAN le profirió al demandante liquidación oficial de revisión por el impuesto de renta del año gravable 2013, de conformidad con lo expuesto en la parte motiva de la presente providencia.</w:t>
      </w:r>
    </w:p>
    <w:p w14:paraId="6C6D6EB2" w14:textId="77777777" w:rsidR="00A7712E" w:rsidRPr="00A7712E" w:rsidRDefault="00A7712E" w:rsidP="00A7712E">
      <w:pPr>
        <w:spacing w:after="0" w:line="240" w:lineRule="auto"/>
        <w:ind w:left="284"/>
        <w:jc w:val="both"/>
        <w:rPr>
          <w:rFonts w:ascii="Arial" w:eastAsia="Times New Roman" w:hAnsi="Arial" w:cs="Arial"/>
          <w:color w:val="000000"/>
          <w:sz w:val="18"/>
          <w:szCs w:val="18"/>
          <w:lang w:eastAsia="es-CO"/>
        </w:rPr>
      </w:pPr>
      <w:r w:rsidRPr="00A7712E">
        <w:rPr>
          <w:rFonts w:ascii="Segoe UI" w:eastAsia="Times New Roman" w:hAnsi="Segoe UI" w:cs="Segoe UI"/>
          <w:i/>
          <w:iCs/>
          <w:color w:val="000000"/>
          <w:sz w:val="22"/>
          <w:lang w:eastAsia="es-CO"/>
        </w:rPr>
        <w:t> </w:t>
      </w:r>
    </w:p>
    <w:p w14:paraId="3D3C89EA" w14:textId="77777777" w:rsidR="00A7712E" w:rsidRPr="00A7712E" w:rsidRDefault="00A7712E" w:rsidP="00A7712E">
      <w:pPr>
        <w:spacing w:after="0" w:line="240" w:lineRule="auto"/>
        <w:ind w:left="284"/>
        <w:jc w:val="both"/>
        <w:rPr>
          <w:rFonts w:ascii="Arial" w:eastAsia="Times New Roman" w:hAnsi="Arial" w:cs="Arial"/>
          <w:color w:val="000000"/>
          <w:sz w:val="18"/>
          <w:szCs w:val="18"/>
          <w:lang w:eastAsia="es-CO"/>
        </w:rPr>
      </w:pPr>
      <w:r w:rsidRPr="00A7712E">
        <w:rPr>
          <w:rFonts w:ascii="Segoe UI" w:eastAsia="Times New Roman" w:hAnsi="Segoe UI" w:cs="Segoe UI"/>
          <w:b/>
          <w:bCs/>
          <w:i/>
          <w:iCs/>
          <w:color w:val="000000"/>
          <w:sz w:val="18"/>
          <w:szCs w:val="18"/>
          <w:lang w:eastAsia="es-CO"/>
        </w:rPr>
        <w:t>SEGUNDO.</w:t>
      </w:r>
      <w:r w:rsidRPr="00A7712E">
        <w:rPr>
          <w:rFonts w:ascii="Segoe UI" w:eastAsia="Times New Roman" w:hAnsi="Segoe UI" w:cs="Segoe UI"/>
          <w:i/>
          <w:iCs/>
          <w:color w:val="000000"/>
          <w:sz w:val="18"/>
          <w:szCs w:val="18"/>
          <w:lang w:eastAsia="es-CO"/>
        </w:rPr>
        <w:t> A título de restablecimiento del derecho, MODIFÍCASE respecto de la sanción por inexactitud, la liquidación oficial del impuesto sobre la renta del año 2013 del señor JULIO ALBERTO RODRÍGUEZ PRIETO, de acuerdo con la liquidación efectuada por esta Corporación y que obra en la parte motiva de esta providencia.</w:t>
      </w:r>
    </w:p>
    <w:p w14:paraId="5683BB89" w14:textId="77777777" w:rsidR="00A7712E" w:rsidRPr="00A7712E" w:rsidRDefault="00A7712E" w:rsidP="00A7712E">
      <w:pPr>
        <w:spacing w:after="0" w:line="240" w:lineRule="auto"/>
        <w:ind w:left="284"/>
        <w:jc w:val="both"/>
        <w:rPr>
          <w:rFonts w:ascii="Arial" w:eastAsia="Times New Roman" w:hAnsi="Arial" w:cs="Arial"/>
          <w:color w:val="000000"/>
          <w:sz w:val="18"/>
          <w:szCs w:val="18"/>
          <w:lang w:eastAsia="es-CO"/>
        </w:rPr>
      </w:pPr>
      <w:r w:rsidRPr="00A7712E">
        <w:rPr>
          <w:rFonts w:ascii="Segoe UI" w:eastAsia="Times New Roman" w:hAnsi="Segoe UI" w:cs="Segoe UI"/>
          <w:i/>
          <w:iCs/>
          <w:color w:val="000000"/>
          <w:sz w:val="22"/>
          <w:lang w:eastAsia="es-CO"/>
        </w:rPr>
        <w:t> </w:t>
      </w:r>
    </w:p>
    <w:p w14:paraId="16BE5555" w14:textId="77777777" w:rsidR="00A7712E" w:rsidRPr="00A7712E" w:rsidRDefault="00A7712E" w:rsidP="00A7712E">
      <w:pPr>
        <w:spacing w:after="0" w:line="240" w:lineRule="auto"/>
        <w:ind w:left="284"/>
        <w:jc w:val="both"/>
        <w:rPr>
          <w:rFonts w:ascii="Arial" w:eastAsia="Times New Roman" w:hAnsi="Arial" w:cs="Arial"/>
          <w:color w:val="000000"/>
          <w:sz w:val="18"/>
          <w:szCs w:val="18"/>
          <w:lang w:eastAsia="es-CO"/>
        </w:rPr>
      </w:pPr>
      <w:r w:rsidRPr="00A7712E">
        <w:rPr>
          <w:rFonts w:ascii="Segoe UI" w:eastAsia="Times New Roman" w:hAnsi="Segoe UI" w:cs="Segoe UI"/>
          <w:b/>
          <w:bCs/>
          <w:i/>
          <w:iCs/>
          <w:color w:val="000000"/>
          <w:sz w:val="18"/>
          <w:szCs w:val="18"/>
          <w:lang w:eastAsia="es-CO"/>
        </w:rPr>
        <w:t>TERCERO.</w:t>
      </w:r>
      <w:r w:rsidRPr="00A7712E">
        <w:rPr>
          <w:rFonts w:ascii="Segoe UI" w:eastAsia="Times New Roman" w:hAnsi="Segoe UI" w:cs="Segoe UI"/>
          <w:i/>
          <w:iCs/>
          <w:color w:val="000000"/>
          <w:sz w:val="18"/>
          <w:szCs w:val="18"/>
          <w:lang w:eastAsia="es-CO"/>
        </w:rPr>
        <w:t> No se condena en costas a la parte vencida, de conformidad con lo expuesto en la parte motiva</w:t>
      </w:r>
      <w:r w:rsidRPr="00A7712E">
        <w:rPr>
          <w:rFonts w:ascii="Segoe UI" w:eastAsia="Times New Roman" w:hAnsi="Segoe UI" w:cs="Segoe UI"/>
          <w:color w:val="000000"/>
          <w:sz w:val="18"/>
          <w:szCs w:val="18"/>
          <w:lang w:eastAsia="es-CO"/>
        </w:rPr>
        <w:t>.”</w:t>
      </w:r>
    </w:p>
    <w:p w14:paraId="1EDC5A33"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18"/>
          <w:szCs w:val="18"/>
          <w:lang w:eastAsia="es-CO"/>
        </w:rPr>
        <w:t> </w:t>
      </w:r>
    </w:p>
    <w:p w14:paraId="067D1279" w14:textId="77777777" w:rsidR="00A7712E" w:rsidRPr="00A7712E" w:rsidRDefault="00A7712E" w:rsidP="00A7712E">
      <w:pPr>
        <w:spacing w:after="0" w:line="240" w:lineRule="auto"/>
        <w:jc w:val="center"/>
        <w:rPr>
          <w:rFonts w:ascii="Arial" w:eastAsia="Times New Roman" w:hAnsi="Arial" w:cs="Arial"/>
          <w:color w:val="000000"/>
          <w:sz w:val="18"/>
          <w:szCs w:val="18"/>
          <w:lang w:eastAsia="es-CO"/>
        </w:rPr>
      </w:pPr>
      <w:r w:rsidRPr="00A7712E">
        <w:rPr>
          <w:rFonts w:ascii="Segoe UI" w:eastAsia="Times New Roman" w:hAnsi="Segoe UI" w:cs="Segoe UI"/>
          <w:b/>
          <w:bCs/>
          <w:color w:val="000000"/>
          <w:sz w:val="18"/>
          <w:szCs w:val="18"/>
          <w:lang w:eastAsia="es-CO"/>
        </w:rPr>
        <w:t>ANTECEDENTES</w:t>
      </w:r>
    </w:p>
    <w:p w14:paraId="073A6B6D"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b/>
          <w:bCs/>
          <w:color w:val="000000"/>
          <w:sz w:val="22"/>
          <w:lang w:eastAsia="es-CO"/>
        </w:rPr>
        <w:t> </w:t>
      </w:r>
    </w:p>
    <w:p w14:paraId="6737E24D"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El 19 de septiembre de 2014, el demandante presentó su declaración de renta del año gravable 2013 y determinó un saldo a pagar de $1.468.000.</w:t>
      </w:r>
    </w:p>
    <w:p w14:paraId="65F19C88"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 </w:t>
      </w:r>
    </w:p>
    <w:p w14:paraId="010EF137"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Previo requerimiento especial y su respuesta, el 30 de mayo de 2017, la DIAN profirió la Liquidación Oficial de Revisión 322412017000112, por medio de la cual modificó la declaración de renta del año gravable 2013 en el sentido de desconocer pasivos por $1.500.000.000. En consecuencia, aumentó el patrimonio líquido y determinó una renta gravable por comparación patrimonial de $1.507.019.000, un impuesto de $499.979.000 y un total saldo a pagar de $990.516.000, que incluye una sanción por inexactitud de $494.515.000, teniendo en cuenta el principio de favorabilidad (tarifa del 100%)</w:t>
      </w:r>
      <w:bookmarkStart w:id="0" w:name="_ftnref1"/>
      <w:r w:rsidRPr="00A7712E">
        <w:rPr>
          <w:rFonts w:ascii="Segoe UI" w:eastAsia="Times New Roman" w:hAnsi="Segoe UI" w:cs="Segoe UI"/>
          <w:color w:val="000000"/>
          <w:sz w:val="22"/>
          <w:lang w:eastAsia="es-CO"/>
        </w:rPr>
        <w:fldChar w:fldCharType="begin"/>
      </w:r>
      <w:r w:rsidRPr="00A7712E">
        <w:rPr>
          <w:rFonts w:ascii="Segoe UI" w:eastAsia="Times New Roman" w:hAnsi="Segoe UI" w:cs="Segoe UI"/>
          <w:color w:val="000000"/>
          <w:sz w:val="22"/>
          <w:lang w:eastAsia="es-CO"/>
        </w:rPr>
        <w:instrText xml:space="preserve"> HYPERLINK "https://www.ceta.org.co/html/vista_de_un_documento.asp?DocumentoID=44226" \l "_ftn1" \o "" </w:instrText>
      </w:r>
      <w:r w:rsidRPr="00A7712E">
        <w:rPr>
          <w:rFonts w:ascii="Segoe UI" w:eastAsia="Times New Roman" w:hAnsi="Segoe UI" w:cs="Segoe UI"/>
          <w:color w:val="000000"/>
          <w:sz w:val="22"/>
          <w:lang w:eastAsia="es-CO"/>
        </w:rPr>
        <w:fldChar w:fldCharType="separate"/>
      </w:r>
      <w:r w:rsidRPr="00A7712E">
        <w:rPr>
          <w:rFonts w:ascii="Segoe UI" w:eastAsia="Times New Roman" w:hAnsi="Segoe UI" w:cs="Segoe UI"/>
          <w:color w:val="0000FF"/>
          <w:sz w:val="22"/>
          <w:lang w:eastAsia="es-CO"/>
        </w:rPr>
        <w:t>[1]</w:t>
      </w:r>
      <w:r w:rsidRPr="00A7712E">
        <w:rPr>
          <w:rFonts w:ascii="Segoe UI" w:eastAsia="Times New Roman" w:hAnsi="Segoe UI" w:cs="Segoe UI"/>
          <w:color w:val="000000"/>
          <w:sz w:val="22"/>
          <w:lang w:eastAsia="es-CO"/>
        </w:rPr>
        <w:fldChar w:fldCharType="end"/>
      </w:r>
      <w:bookmarkEnd w:id="0"/>
      <w:r w:rsidRPr="00A7712E">
        <w:rPr>
          <w:rFonts w:ascii="Segoe UI" w:eastAsia="Times New Roman" w:hAnsi="Segoe UI" w:cs="Segoe UI"/>
          <w:color w:val="000000"/>
          <w:sz w:val="22"/>
          <w:lang w:eastAsia="es-CO"/>
        </w:rPr>
        <w:t>.</w:t>
      </w:r>
    </w:p>
    <w:p w14:paraId="35487C5C"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 </w:t>
      </w:r>
    </w:p>
    <w:p w14:paraId="38D7A3CC"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Con fundamento en el artículo 720 [parágrafo] demandó directamente la liquidación oficial de revisión.</w:t>
      </w:r>
    </w:p>
    <w:p w14:paraId="43B3AE4D"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 </w:t>
      </w:r>
    </w:p>
    <w:p w14:paraId="5F329264" w14:textId="77777777" w:rsidR="00A7712E" w:rsidRPr="00A7712E" w:rsidRDefault="00A7712E" w:rsidP="00A7712E">
      <w:pPr>
        <w:spacing w:after="0" w:line="240" w:lineRule="auto"/>
        <w:jc w:val="center"/>
        <w:rPr>
          <w:rFonts w:ascii="Arial" w:eastAsia="Times New Roman" w:hAnsi="Arial" w:cs="Arial"/>
          <w:color w:val="000000"/>
          <w:sz w:val="18"/>
          <w:szCs w:val="18"/>
          <w:lang w:eastAsia="es-CO"/>
        </w:rPr>
      </w:pPr>
      <w:r w:rsidRPr="00A7712E">
        <w:rPr>
          <w:rFonts w:ascii="Segoe UI" w:eastAsia="Times New Roman" w:hAnsi="Segoe UI" w:cs="Segoe UI"/>
          <w:b/>
          <w:bCs/>
          <w:color w:val="000000"/>
          <w:sz w:val="22"/>
          <w:lang w:eastAsia="es-CO"/>
        </w:rPr>
        <w:t>DEMANDA</w:t>
      </w:r>
    </w:p>
    <w:p w14:paraId="3226FF0A"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b/>
          <w:bCs/>
          <w:color w:val="000000"/>
          <w:sz w:val="22"/>
          <w:lang w:eastAsia="es-CO"/>
        </w:rPr>
        <w:t> </w:t>
      </w:r>
    </w:p>
    <w:p w14:paraId="1D12EE03"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lastRenderedPageBreak/>
        <w:t>JULIO ALBERTO RODRÍGUEZ PRIETO, en ejercicio del medio de control establecido en el artículo 138 del Código de Procedimiento Administrativo y de lo Contencioso Administrativo, formuló la siguiente pretensión</w:t>
      </w:r>
      <w:bookmarkStart w:id="1" w:name="_ftnref2"/>
      <w:r w:rsidRPr="00A7712E">
        <w:rPr>
          <w:rFonts w:ascii="Segoe UI" w:eastAsia="Times New Roman" w:hAnsi="Segoe UI" w:cs="Segoe UI"/>
          <w:color w:val="000000"/>
          <w:sz w:val="22"/>
          <w:lang w:eastAsia="es-CO"/>
        </w:rPr>
        <w:fldChar w:fldCharType="begin"/>
      </w:r>
      <w:r w:rsidRPr="00A7712E">
        <w:rPr>
          <w:rFonts w:ascii="Segoe UI" w:eastAsia="Times New Roman" w:hAnsi="Segoe UI" w:cs="Segoe UI"/>
          <w:color w:val="000000"/>
          <w:sz w:val="22"/>
          <w:lang w:eastAsia="es-CO"/>
        </w:rPr>
        <w:instrText xml:space="preserve"> HYPERLINK "https://www.ceta.org.co/html/vista_de_un_documento.asp?DocumentoID=44226" \l "_ftn2" \o "" </w:instrText>
      </w:r>
      <w:r w:rsidRPr="00A7712E">
        <w:rPr>
          <w:rFonts w:ascii="Segoe UI" w:eastAsia="Times New Roman" w:hAnsi="Segoe UI" w:cs="Segoe UI"/>
          <w:color w:val="000000"/>
          <w:sz w:val="22"/>
          <w:lang w:eastAsia="es-CO"/>
        </w:rPr>
        <w:fldChar w:fldCharType="separate"/>
      </w:r>
      <w:r w:rsidRPr="00A7712E">
        <w:rPr>
          <w:rFonts w:ascii="Segoe UI" w:eastAsia="Times New Roman" w:hAnsi="Segoe UI" w:cs="Segoe UI"/>
          <w:color w:val="0000FF"/>
          <w:sz w:val="22"/>
          <w:lang w:eastAsia="es-CO"/>
        </w:rPr>
        <w:t>[2]</w:t>
      </w:r>
      <w:r w:rsidRPr="00A7712E">
        <w:rPr>
          <w:rFonts w:ascii="Segoe UI" w:eastAsia="Times New Roman" w:hAnsi="Segoe UI" w:cs="Segoe UI"/>
          <w:color w:val="000000"/>
          <w:sz w:val="22"/>
          <w:lang w:eastAsia="es-CO"/>
        </w:rPr>
        <w:fldChar w:fldCharType="end"/>
      </w:r>
      <w:bookmarkEnd w:id="1"/>
      <w:r w:rsidRPr="00A7712E">
        <w:rPr>
          <w:rFonts w:ascii="Segoe UI" w:eastAsia="Times New Roman" w:hAnsi="Segoe UI" w:cs="Segoe UI"/>
          <w:color w:val="000000"/>
          <w:sz w:val="22"/>
          <w:lang w:eastAsia="es-CO"/>
        </w:rPr>
        <w:t>:</w:t>
      </w:r>
    </w:p>
    <w:p w14:paraId="7A41B896"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i/>
          <w:iCs/>
          <w:color w:val="000000"/>
          <w:sz w:val="18"/>
          <w:szCs w:val="18"/>
          <w:lang w:eastAsia="es-CO"/>
        </w:rPr>
        <w:t>“[Que] [s]</w:t>
      </w:r>
      <w:proofErr w:type="spellStart"/>
      <w:r w:rsidRPr="00A7712E">
        <w:rPr>
          <w:rFonts w:ascii="Segoe UI" w:eastAsia="Times New Roman" w:hAnsi="Segoe UI" w:cs="Segoe UI"/>
          <w:i/>
          <w:iCs/>
          <w:color w:val="000000"/>
          <w:sz w:val="18"/>
          <w:szCs w:val="18"/>
          <w:lang w:eastAsia="es-CO"/>
        </w:rPr>
        <w:t>ea</w:t>
      </w:r>
      <w:proofErr w:type="spellEnd"/>
      <w:r w:rsidRPr="00A7712E">
        <w:rPr>
          <w:rFonts w:ascii="Segoe UI" w:eastAsia="Times New Roman" w:hAnsi="Segoe UI" w:cs="Segoe UI"/>
          <w:i/>
          <w:iCs/>
          <w:color w:val="000000"/>
          <w:sz w:val="18"/>
          <w:szCs w:val="18"/>
          <w:lang w:eastAsia="es-CO"/>
        </w:rPr>
        <w:t xml:space="preserve"> declarada la nulidad de la Liquidación Oficial de Revisión número 322412017000112 del 30 de mayo del 2017, por medio de la cual se pretende modificar la declaración de renta del año gravable 2013.”.</w:t>
      </w:r>
    </w:p>
    <w:p w14:paraId="465347FB"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i/>
          <w:iCs/>
          <w:color w:val="000000"/>
          <w:sz w:val="22"/>
          <w:lang w:eastAsia="es-CO"/>
        </w:rPr>
        <w:t> </w:t>
      </w:r>
    </w:p>
    <w:p w14:paraId="03FD3AD5"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La demandante invocó como normas violadas, las siguientes:</w:t>
      </w:r>
    </w:p>
    <w:p w14:paraId="24C6BE45"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 </w:t>
      </w:r>
    </w:p>
    <w:p w14:paraId="777E1C14" w14:textId="77777777" w:rsidR="00A7712E" w:rsidRPr="00A7712E" w:rsidRDefault="00A7712E" w:rsidP="00A7712E">
      <w:pPr>
        <w:spacing w:after="0" w:line="240" w:lineRule="auto"/>
        <w:ind w:left="284"/>
        <w:jc w:val="both"/>
        <w:rPr>
          <w:rFonts w:ascii="Arial" w:eastAsia="Times New Roman" w:hAnsi="Arial" w:cs="Arial"/>
          <w:color w:val="000000"/>
          <w:sz w:val="18"/>
          <w:szCs w:val="18"/>
          <w:lang w:eastAsia="es-CO"/>
        </w:rPr>
      </w:pPr>
      <w:r w:rsidRPr="00A7712E">
        <w:rPr>
          <w:rFonts w:ascii="Symbol" w:eastAsia="Times New Roman" w:hAnsi="Symbol" w:cs="Arial"/>
          <w:color w:val="000000"/>
          <w:sz w:val="23"/>
          <w:szCs w:val="23"/>
          <w:lang w:eastAsia="es-CO"/>
        </w:rPr>
        <w:t>·</w:t>
      </w:r>
      <w:r w:rsidRPr="00A7712E">
        <w:rPr>
          <w:rFonts w:eastAsia="Times New Roman" w:cs="Times New Roman"/>
          <w:color w:val="000000"/>
          <w:sz w:val="14"/>
          <w:szCs w:val="14"/>
          <w:lang w:eastAsia="es-CO"/>
        </w:rPr>
        <w:t>           </w:t>
      </w:r>
      <w:r w:rsidRPr="00A7712E">
        <w:rPr>
          <w:rFonts w:ascii="Segoe UI" w:eastAsia="Times New Roman" w:hAnsi="Segoe UI" w:cs="Segoe UI"/>
          <w:color w:val="000000"/>
          <w:sz w:val="18"/>
          <w:szCs w:val="18"/>
          <w:lang w:eastAsia="es-CO"/>
        </w:rPr>
        <w:t>Artículos 83 y 228 de la Constitución Política.</w:t>
      </w:r>
    </w:p>
    <w:p w14:paraId="3C082241" w14:textId="77777777" w:rsidR="00A7712E" w:rsidRPr="00A7712E" w:rsidRDefault="00A7712E" w:rsidP="00A7712E">
      <w:pPr>
        <w:spacing w:after="0" w:line="240" w:lineRule="auto"/>
        <w:ind w:left="284"/>
        <w:jc w:val="both"/>
        <w:rPr>
          <w:rFonts w:ascii="Arial" w:eastAsia="Times New Roman" w:hAnsi="Arial" w:cs="Arial"/>
          <w:color w:val="000000"/>
          <w:sz w:val="18"/>
          <w:szCs w:val="18"/>
          <w:lang w:eastAsia="es-CO"/>
        </w:rPr>
      </w:pPr>
      <w:r w:rsidRPr="00A7712E">
        <w:rPr>
          <w:rFonts w:ascii="Symbol" w:eastAsia="Times New Roman" w:hAnsi="Symbol" w:cs="Arial"/>
          <w:color w:val="000000"/>
          <w:sz w:val="23"/>
          <w:szCs w:val="23"/>
          <w:lang w:eastAsia="es-CO"/>
        </w:rPr>
        <w:t>·</w:t>
      </w:r>
      <w:r w:rsidRPr="00A7712E">
        <w:rPr>
          <w:rFonts w:eastAsia="Times New Roman" w:cs="Times New Roman"/>
          <w:color w:val="000000"/>
          <w:sz w:val="14"/>
          <w:szCs w:val="14"/>
          <w:lang w:eastAsia="es-CO"/>
        </w:rPr>
        <w:t>           </w:t>
      </w:r>
      <w:r w:rsidRPr="00A7712E">
        <w:rPr>
          <w:rFonts w:ascii="Segoe UI" w:eastAsia="Times New Roman" w:hAnsi="Segoe UI" w:cs="Segoe UI"/>
          <w:color w:val="000000"/>
          <w:sz w:val="18"/>
          <w:szCs w:val="18"/>
          <w:lang w:eastAsia="es-CO"/>
        </w:rPr>
        <w:t>Artículos </w:t>
      </w:r>
      <w:hyperlink r:id="rId5" w:tooltip="Estatuto Tributario CETA" w:history="1">
        <w:r w:rsidRPr="00A7712E">
          <w:rPr>
            <w:rFonts w:ascii="Segoe UI" w:eastAsia="Times New Roman" w:hAnsi="Segoe UI" w:cs="Segoe UI"/>
            <w:color w:val="0089E1"/>
            <w:sz w:val="18"/>
            <w:szCs w:val="18"/>
            <w:u w:val="single"/>
            <w:lang w:eastAsia="es-CO"/>
          </w:rPr>
          <w:t>283</w:t>
        </w:r>
      </w:hyperlink>
      <w:r w:rsidRPr="00A7712E">
        <w:rPr>
          <w:rFonts w:ascii="Segoe UI" w:eastAsia="Times New Roman" w:hAnsi="Segoe UI" w:cs="Segoe UI"/>
          <w:color w:val="000000"/>
          <w:sz w:val="18"/>
          <w:szCs w:val="18"/>
          <w:lang w:eastAsia="es-CO"/>
        </w:rPr>
        <w:t>, </w:t>
      </w:r>
      <w:hyperlink r:id="rId6" w:tooltip="Estatuto Tributario CETA" w:history="1">
        <w:r w:rsidRPr="00A7712E">
          <w:rPr>
            <w:rFonts w:ascii="Segoe UI" w:eastAsia="Times New Roman" w:hAnsi="Segoe UI" w:cs="Segoe UI"/>
            <w:color w:val="0089E1"/>
            <w:sz w:val="18"/>
            <w:szCs w:val="18"/>
            <w:u w:val="single"/>
            <w:lang w:eastAsia="es-CO"/>
          </w:rPr>
          <w:t>683</w:t>
        </w:r>
      </w:hyperlink>
      <w:r w:rsidRPr="00A7712E">
        <w:rPr>
          <w:rFonts w:ascii="Segoe UI" w:eastAsia="Times New Roman" w:hAnsi="Segoe UI" w:cs="Segoe UI"/>
          <w:color w:val="000000"/>
          <w:sz w:val="18"/>
          <w:szCs w:val="18"/>
          <w:lang w:eastAsia="es-CO"/>
        </w:rPr>
        <w:t> y </w:t>
      </w:r>
      <w:hyperlink r:id="rId7" w:tooltip="Estatuto Tributario CETA" w:history="1">
        <w:r w:rsidRPr="00A7712E">
          <w:rPr>
            <w:rFonts w:ascii="Segoe UI" w:eastAsia="Times New Roman" w:hAnsi="Segoe UI" w:cs="Segoe UI"/>
            <w:color w:val="0089E1"/>
            <w:sz w:val="18"/>
            <w:szCs w:val="18"/>
            <w:u w:val="single"/>
            <w:lang w:eastAsia="es-CO"/>
          </w:rPr>
          <w:t>770</w:t>
        </w:r>
      </w:hyperlink>
      <w:r w:rsidRPr="00A7712E">
        <w:rPr>
          <w:rFonts w:ascii="Segoe UI" w:eastAsia="Times New Roman" w:hAnsi="Segoe UI" w:cs="Segoe UI"/>
          <w:color w:val="000000"/>
          <w:sz w:val="18"/>
          <w:szCs w:val="18"/>
          <w:lang w:eastAsia="es-CO"/>
        </w:rPr>
        <w:t> del Estatuto Tributario.</w:t>
      </w:r>
    </w:p>
    <w:p w14:paraId="1F16DC2D"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 </w:t>
      </w:r>
    </w:p>
    <w:p w14:paraId="4B09658A"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Como concepto de la violación expuso, en síntesis, lo siguiente:</w:t>
      </w:r>
    </w:p>
    <w:p w14:paraId="42894C01"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 </w:t>
      </w:r>
    </w:p>
    <w:p w14:paraId="28359948"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 xml:space="preserve">La DIAN desconoció un pasivo correspondiente a la compraventa de un inmueble, con fundamento en que no fue aportada la prueba de la existencia </w:t>
      </w:r>
      <w:proofErr w:type="gramStart"/>
      <w:r w:rsidRPr="00A7712E">
        <w:rPr>
          <w:rFonts w:ascii="Segoe UI" w:eastAsia="Times New Roman" w:hAnsi="Segoe UI" w:cs="Segoe UI"/>
          <w:color w:val="000000"/>
          <w:sz w:val="22"/>
          <w:lang w:eastAsia="es-CO"/>
        </w:rPr>
        <w:t>del mismo</w:t>
      </w:r>
      <w:proofErr w:type="gramEnd"/>
      <w:r w:rsidRPr="00A7712E">
        <w:rPr>
          <w:rFonts w:ascii="Segoe UI" w:eastAsia="Times New Roman" w:hAnsi="Segoe UI" w:cs="Segoe UI"/>
          <w:color w:val="000000"/>
          <w:sz w:val="22"/>
          <w:lang w:eastAsia="es-CO"/>
        </w:rPr>
        <w:t>.</w:t>
      </w:r>
    </w:p>
    <w:p w14:paraId="2B462D9C"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 </w:t>
      </w:r>
    </w:p>
    <w:p w14:paraId="3E5073F7"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No obstante, en el trámite administrativo se aportaron los pagarés que demostraban la existencia del pasivo. Estos documentos cumplen los requisitos materiales (existencia de la deuda) y formales (persona natural no obligada a llevar contabilidad, documento autenticado y de fecha cierta que soporta el pasivo), previstos en el </w:t>
      </w:r>
      <w:hyperlink r:id="rId8" w:tooltip="Estatuto Tributario CETA" w:history="1">
        <w:r w:rsidRPr="00A7712E">
          <w:rPr>
            <w:rFonts w:ascii="Segoe UI" w:eastAsia="Times New Roman" w:hAnsi="Segoe UI" w:cs="Segoe UI"/>
            <w:color w:val="0089E1"/>
            <w:sz w:val="22"/>
            <w:u w:val="single"/>
            <w:lang w:eastAsia="es-CO"/>
          </w:rPr>
          <w:t>artículo 770</w:t>
        </w:r>
      </w:hyperlink>
      <w:r w:rsidRPr="00A7712E">
        <w:rPr>
          <w:rFonts w:ascii="Segoe UI" w:eastAsia="Times New Roman" w:hAnsi="Segoe UI" w:cs="Segoe UI"/>
          <w:color w:val="000000"/>
          <w:sz w:val="22"/>
          <w:lang w:eastAsia="es-CO"/>
        </w:rPr>
        <w:t> del ET.</w:t>
      </w:r>
    </w:p>
    <w:p w14:paraId="2F7DB0B6"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 </w:t>
      </w:r>
    </w:p>
    <w:p w14:paraId="03F0F1C4"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La DIAN creó requisitos adicionales a los establecidos en las normas tributarias para la deducción por deudas de difícil cobro (artículos </w:t>
      </w:r>
      <w:hyperlink r:id="rId9" w:tooltip="Estatuto Tributario CETA" w:history="1">
        <w:r w:rsidRPr="00A7712E">
          <w:rPr>
            <w:rFonts w:ascii="Segoe UI" w:eastAsia="Times New Roman" w:hAnsi="Segoe UI" w:cs="Segoe UI"/>
            <w:color w:val="0089E1"/>
            <w:sz w:val="22"/>
            <w:u w:val="single"/>
            <w:lang w:eastAsia="es-CO"/>
          </w:rPr>
          <w:t>146</w:t>
        </w:r>
      </w:hyperlink>
      <w:r w:rsidRPr="00A7712E">
        <w:rPr>
          <w:rFonts w:ascii="Segoe UI" w:eastAsia="Times New Roman" w:hAnsi="Segoe UI" w:cs="Segoe UI"/>
          <w:color w:val="000000"/>
          <w:sz w:val="22"/>
          <w:lang w:eastAsia="es-CO"/>
        </w:rPr>
        <w:t> del E.T. y 79 y 80 del Decreto Reglamentario 187 de 1975). Además, no se puede soportar la existencia o inexistencia de la obligación en la actuación de un tercero, pues si este no declaró el activo (cuenta por cobrar), no significa que el pasivo sea inexistente para la persona que lo registró.</w:t>
      </w:r>
    </w:p>
    <w:p w14:paraId="4D778FCB"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 </w:t>
      </w:r>
    </w:p>
    <w:p w14:paraId="7ED4434C"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El acto administrativo demandado tiene una motivación precaria pues la DIAN se limitó a citar normas y a sustentar su decisión en simples indicios, desconociendo las pruebas aportadas por el demandante.</w:t>
      </w:r>
    </w:p>
    <w:p w14:paraId="3026B1AC"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 </w:t>
      </w:r>
    </w:p>
    <w:p w14:paraId="577ADF16"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No existió una actuación dolosa o evasiva, de modo que no hay lugar a la imposición de la sanción por inexactitud. La sanción impuesta en el acto acusado es desproporcionada frente a la realidad de lo que se fiscaliza.</w:t>
      </w:r>
    </w:p>
    <w:p w14:paraId="1FCD3366"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 </w:t>
      </w:r>
    </w:p>
    <w:p w14:paraId="1E3992D1" w14:textId="77777777" w:rsidR="00A7712E" w:rsidRPr="00A7712E" w:rsidRDefault="00A7712E" w:rsidP="00A7712E">
      <w:pPr>
        <w:spacing w:after="0" w:line="240" w:lineRule="auto"/>
        <w:jc w:val="center"/>
        <w:rPr>
          <w:rFonts w:ascii="Arial" w:eastAsia="Times New Roman" w:hAnsi="Arial" w:cs="Arial"/>
          <w:color w:val="000000"/>
          <w:sz w:val="18"/>
          <w:szCs w:val="18"/>
          <w:lang w:eastAsia="es-CO"/>
        </w:rPr>
      </w:pPr>
      <w:r w:rsidRPr="00A7712E">
        <w:rPr>
          <w:rFonts w:ascii="Segoe UI" w:eastAsia="Times New Roman" w:hAnsi="Segoe UI" w:cs="Segoe UI"/>
          <w:b/>
          <w:bCs/>
          <w:color w:val="000000"/>
          <w:sz w:val="18"/>
          <w:szCs w:val="18"/>
          <w:lang w:eastAsia="es-CO"/>
        </w:rPr>
        <w:t>CONTESTACIÓN DE LA DEMANDA</w:t>
      </w:r>
    </w:p>
    <w:p w14:paraId="21C22FB3"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b/>
          <w:bCs/>
          <w:color w:val="000000"/>
          <w:sz w:val="22"/>
          <w:lang w:eastAsia="es-CO"/>
        </w:rPr>
        <w:t> </w:t>
      </w:r>
    </w:p>
    <w:p w14:paraId="31AC9C5A"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La DIAN se opuso a las pretensiones de la demanda con fundamento en los siguientes argumentos:</w:t>
      </w:r>
    </w:p>
    <w:p w14:paraId="45F6F69F"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 </w:t>
      </w:r>
    </w:p>
    <w:p w14:paraId="2E600801"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Los documentos con los cuales la demandante pretendió dar cabida al reconocimiento de un pasivo por $1.500.000,000, por la compraventa de un inmueble, no cumplen los requisitos del </w:t>
      </w:r>
      <w:hyperlink r:id="rId10" w:tooltip="Estatuto Tributario CETA" w:history="1">
        <w:r w:rsidRPr="00A7712E">
          <w:rPr>
            <w:rFonts w:ascii="Segoe UI" w:eastAsia="Times New Roman" w:hAnsi="Segoe UI" w:cs="Segoe UI"/>
            <w:color w:val="0089E1"/>
            <w:sz w:val="22"/>
            <w:u w:val="single"/>
            <w:lang w:eastAsia="es-CO"/>
          </w:rPr>
          <w:t>artículo 770</w:t>
        </w:r>
      </w:hyperlink>
      <w:r w:rsidRPr="00A7712E">
        <w:rPr>
          <w:rFonts w:ascii="Segoe UI" w:eastAsia="Times New Roman" w:hAnsi="Segoe UI" w:cs="Segoe UI"/>
          <w:color w:val="000000"/>
          <w:sz w:val="22"/>
          <w:lang w:eastAsia="es-CO"/>
        </w:rPr>
        <w:t> del E.T.</w:t>
      </w:r>
    </w:p>
    <w:p w14:paraId="351FEAD3"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 </w:t>
      </w:r>
    </w:p>
    <w:p w14:paraId="2480800A"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El pagaré aportado por el actor, según lo confesó, fue creado por él mismo sin autenticación alguna. Posteriormente, allegó al proceso administrativo, fotocopia de ese documento para atender un requerimiento ordinario y no pudo ser autenticado en notaría porque la exigencia de la autenticación fue posterior a la fecha en que supuestamente se realizó el negoció jurídico.</w:t>
      </w:r>
    </w:p>
    <w:p w14:paraId="70BCBBDF"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 </w:t>
      </w:r>
    </w:p>
    <w:p w14:paraId="13805BB7"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Con ocasión del requerimiento especial, el actor aportó el pagaré que soportaba la ejecución del negocio. No obstante, la fecha de creación era distinta al primer pagaré aportado y si bien se encuentra autenticado, el sello de la notaría es ilegible.</w:t>
      </w:r>
    </w:p>
    <w:p w14:paraId="3E4B3F24"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 </w:t>
      </w:r>
    </w:p>
    <w:p w14:paraId="67C222BD"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 xml:space="preserve">De modo que existen dudas sobre la operación que el contribuyente afirmó realizar y la existencia de la realidad económica de esta. Por ello, y en aras de garantizar el debido proceso, se ordenó verificar supletoriamente la existencia del pasivo, investigación en la que se determinó que no era </w:t>
      </w:r>
      <w:r w:rsidRPr="00A7712E">
        <w:rPr>
          <w:rFonts w:ascii="Segoe UI" w:eastAsia="Times New Roman" w:hAnsi="Segoe UI" w:cs="Segoe UI"/>
          <w:color w:val="000000"/>
          <w:sz w:val="22"/>
          <w:lang w:eastAsia="es-CO"/>
        </w:rPr>
        <w:lastRenderedPageBreak/>
        <w:t>posible constatar si el vendedor del inmueble se presentó a la notaría al momento de la autenticación del pagaré. Además, el demandante tampoco diligenció formulario ni recibo especial de pago en bancos con la liquidación de la retención en la fuente cuando supuestamente extendió y suscribió el pagaré.</w:t>
      </w:r>
    </w:p>
    <w:p w14:paraId="1DBBA49F"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 </w:t>
      </w:r>
    </w:p>
    <w:p w14:paraId="42A73A2F"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Así mismo, en el certificado de tradición del inmueble objeto de la transacción que dio lugar al pasivo no figura el demandante como dueño y los pagos generados por la compraventa del inmueble provienen de cuentas bancarias cuyos titulares son ajenos a la operación económica que describe el actor.</w:t>
      </w:r>
    </w:p>
    <w:p w14:paraId="246FEF6C"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 </w:t>
      </w:r>
    </w:p>
    <w:p w14:paraId="7540CD9C"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Igualmente, no fue posible constatar la existencia del tercero beneficiario de la operación económica, pues este no atendió los requerimientos de la DIAN y registró un domicilio fiscal en el RUT en el cual no reside. Además, dicho tercero no presentó declaración del impuesto de renta del año gravable 2013.</w:t>
      </w:r>
    </w:p>
    <w:p w14:paraId="521CCF89"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 </w:t>
      </w:r>
    </w:p>
    <w:p w14:paraId="365289F8"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De otro lado, el acto administrativo cuenta con una motivación completa, clara y concreta y el desconocimiento del pasivo responde a las pruebas con que cuenta la DIAN, la cuales no fueron desvirtuadas.</w:t>
      </w:r>
    </w:p>
    <w:p w14:paraId="1783C8B6"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 </w:t>
      </w:r>
    </w:p>
    <w:p w14:paraId="35B7AAE3"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Finalmente, la sanción por inexactitud del 100% es procedente, porque el contribuyente incluyó en la declaración privada un pasivo inexistente, hecho que es sancionable, pues genera un menor impuesto a cargo.</w:t>
      </w:r>
    </w:p>
    <w:p w14:paraId="622385DA"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 </w:t>
      </w:r>
    </w:p>
    <w:p w14:paraId="07D2EFAA" w14:textId="77777777" w:rsidR="00A7712E" w:rsidRPr="00A7712E" w:rsidRDefault="00A7712E" w:rsidP="00A7712E">
      <w:pPr>
        <w:spacing w:after="0" w:line="240" w:lineRule="auto"/>
        <w:jc w:val="center"/>
        <w:rPr>
          <w:rFonts w:ascii="Arial" w:eastAsia="Times New Roman" w:hAnsi="Arial" w:cs="Arial"/>
          <w:color w:val="000000"/>
          <w:sz w:val="18"/>
          <w:szCs w:val="18"/>
          <w:lang w:eastAsia="es-CO"/>
        </w:rPr>
      </w:pPr>
      <w:r w:rsidRPr="00A7712E">
        <w:rPr>
          <w:rFonts w:ascii="Segoe UI" w:eastAsia="Times New Roman" w:hAnsi="Segoe UI" w:cs="Segoe UI"/>
          <w:b/>
          <w:bCs/>
          <w:color w:val="000000"/>
          <w:sz w:val="22"/>
          <w:lang w:eastAsia="es-CO"/>
        </w:rPr>
        <w:t>SENTENCIA APELADA</w:t>
      </w:r>
    </w:p>
    <w:p w14:paraId="4240FCB6"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b/>
          <w:bCs/>
          <w:color w:val="000000"/>
          <w:sz w:val="22"/>
          <w:lang w:eastAsia="es-CO"/>
        </w:rPr>
        <w:t> </w:t>
      </w:r>
    </w:p>
    <w:p w14:paraId="522BB58C"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El Tribunal accedió parcialmente a las pretensiones de la demanda, declaró la nulidad parcial del acto demandado y, a título de restablecimiento del derecho, reliquidó al 100% la sanción por inexactitud, en aplicación del principio de favorabilidad (sic). Además, no condenó en costas a la demandada.</w:t>
      </w:r>
    </w:p>
    <w:p w14:paraId="71E0971F"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 </w:t>
      </w:r>
    </w:p>
    <w:p w14:paraId="5012633E"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Las razones de la decisión se resumen así:</w:t>
      </w:r>
    </w:p>
    <w:p w14:paraId="6C761969"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 </w:t>
      </w:r>
    </w:p>
    <w:p w14:paraId="09B9D3D3"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El acto administrativo demandado está debidamente fundamentado en las normas aplicables y en los hechos probados en el trámite administrativo.</w:t>
      </w:r>
    </w:p>
    <w:p w14:paraId="38FFF0BD"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 </w:t>
      </w:r>
    </w:p>
    <w:p w14:paraId="4DC34725"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Está probado que la DIAN rechazó pasivos por $1.500.000.000, por considerar que el demandante no los acreditó con documento de fecha cierta. Esto porque, allegó primero un pagaré en copia simple, sin autenticación, y en el trámite de la investigación radicó otro pagaré con sello de autenticación de la Notaría 14, que no coincidía con la fecha del primero. En consecuencia, se desconoció el </w:t>
      </w:r>
      <w:hyperlink r:id="rId11" w:tooltip="Estatuto Tributario CETA" w:history="1">
        <w:r w:rsidRPr="00A7712E">
          <w:rPr>
            <w:rFonts w:ascii="Segoe UI" w:eastAsia="Times New Roman" w:hAnsi="Segoe UI" w:cs="Segoe UI"/>
            <w:color w:val="0089E1"/>
            <w:sz w:val="22"/>
            <w:u w:val="single"/>
            <w:lang w:eastAsia="es-CO"/>
          </w:rPr>
          <w:t>artículo 770</w:t>
        </w:r>
      </w:hyperlink>
      <w:r w:rsidRPr="00A7712E">
        <w:rPr>
          <w:rFonts w:ascii="Segoe UI" w:eastAsia="Times New Roman" w:hAnsi="Segoe UI" w:cs="Segoe UI"/>
          <w:color w:val="000000"/>
          <w:sz w:val="22"/>
          <w:lang w:eastAsia="es-CO"/>
        </w:rPr>
        <w:t> del ET.</w:t>
      </w:r>
    </w:p>
    <w:p w14:paraId="578D3107"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 </w:t>
      </w:r>
    </w:p>
    <w:p w14:paraId="5E9ECA89"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También debe tenerse en cuenta que la DIAN comprobó que el pasivo no existió. Lo anterior, mediante autos de verificación o cruce y requerimientos ordinarios al acreedor. Además, el demandante no aparece como dueño del inmueble que compró, sino SAKURA CONSTRUCCIONES S.A., y los pagos provienen de diferentes cuentas bancarias que no son del demandante.</w:t>
      </w:r>
    </w:p>
    <w:p w14:paraId="0CCCC051"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 </w:t>
      </w:r>
    </w:p>
    <w:p w14:paraId="25FA8F09"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Al actor le correspondía demostrar la existencia del pasivo en la vigencia fiscal discutida. No obstante, no allegó en vía administrativa ni judicial las pruebas que demuestren que el pasivo declarado provenía de la compraventa de un bien inmueble. No hay certeza de que la compra de un bien inmueble originó la adquisición de la deuda por el demandante y la suscripción de un pagaré.</w:t>
      </w:r>
    </w:p>
    <w:p w14:paraId="184E1B2C"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 </w:t>
      </w:r>
    </w:p>
    <w:p w14:paraId="077524BB"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Por tanto, procede la modificación de la declaración del impuesto de renta del año 2013 y la imposición de la sanción por inexactitud, de conformidad con el </w:t>
      </w:r>
      <w:hyperlink r:id="rId12" w:tooltip="Estatuto Tributario CETA" w:history="1">
        <w:r w:rsidRPr="00A7712E">
          <w:rPr>
            <w:rFonts w:ascii="Segoe UI" w:eastAsia="Times New Roman" w:hAnsi="Segoe UI" w:cs="Segoe UI"/>
            <w:color w:val="0089E1"/>
            <w:sz w:val="22"/>
            <w:u w:val="single"/>
            <w:lang w:eastAsia="es-CO"/>
          </w:rPr>
          <w:t>artículo 647</w:t>
        </w:r>
      </w:hyperlink>
      <w:r w:rsidRPr="00A7712E">
        <w:rPr>
          <w:rFonts w:ascii="Segoe UI" w:eastAsia="Times New Roman" w:hAnsi="Segoe UI" w:cs="Segoe UI"/>
          <w:color w:val="000000"/>
          <w:sz w:val="22"/>
          <w:lang w:eastAsia="es-CO"/>
        </w:rPr>
        <w:t xml:space="preserve"> del ET, por cuanto se incluyeron pasivos improcedentes, lo que condujo a la determinación de un menor valor del </w:t>
      </w:r>
      <w:r w:rsidRPr="00A7712E">
        <w:rPr>
          <w:rFonts w:ascii="Segoe UI" w:eastAsia="Times New Roman" w:hAnsi="Segoe UI" w:cs="Segoe UI"/>
          <w:color w:val="000000"/>
          <w:sz w:val="22"/>
          <w:lang w:eastAsia="es-CO"/>
        </w:rPr>
        <w:lastRenderedPageBreak/>
        <w:t>impuesto. Sin embargo, en aplicación del principio de favorabilidad, debe reliquidarse la sanción por inexactitud al 100%.</w:t>
      </w:r>
    </w:p>
    <w:p w14:paraId="340EC0D3"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 </w:t>
      </w:r>
    </w:p>
    <w:p w14:paraId="35081C8B"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18"/>
          <w:szCs w:val="18"/>
          <w:lang w:eastAsia="es-CO"/>
        </w:rPr>
        <w:t>Así, reliquidó la sanción por inexactitud “</w:t>
      </w:r>
      <w:r w:rsidRPr="00A7712E">
        <w:rPr>
          <w:rFonts w:ascii="Segoe UI" w:eastAsia="Times New Roman" w:hAnsi="Segoe UI" w:cs="Segoe UI"/>
          <w:i/>
          <w:iCs/>
          <w:color w:val="000000"/>
          <w:sz w:val="18"/>
          <w:szCs w:val="18"/>
          <w:lang w:eastAsia="es-CO"/>
        </w:rPr>
        <w:t>a la tarifa general del 100% de la diferencia entre el saldo a pagar determinado en la liquidación oficial y el declarado por el contribuyente, conforme lo prevé el </w:t>
      </w:r>
      <w:hyperlink r:id="rId13" w:tooltip="Estatuto Tributario CETA" w:history="1">
        <w:r w:rsidRPr="00A7712E">
          <w:rPr>
            <w:rFonts w:ascii="Segoe UI" w:eastAsia="Times New Roman" w:hAnsi="Segoe UI" w:cs="Segoe UI"/>
            <w:i/>
            <w:iCs/>
            <w:color w:val="0089E1"/>
            <w:sz w:val="18"/>
            <w:szCs w:val="18"/>
            <w:u w:val="single"/>
            <w:lang w:eastAsia="es-CO"/>
          </w:rPr>
          <w:t>artículo 647</w:t>
        </w:r>
      </w:hyperlink>
      <w:r w:rsidRPr="00A7712E">
        <w:rPr>
          <w:rFonts w:ascii="Segoe UI" w:eastAsia="Times New Roman" w:hAnsi="Segoe UI" w:cs="Segoe UI"/>
          <w:color w:val="000000"/>
          <w:sz w:val="18"/>
          <w:szCs w:val="18"/>
          <w:lang w:eastAsia="es-CO"/>
        </w:rPr>
        <w:t>”, pues la DIAN liquidó la sanción con “</w:t>
      </w:r>
      <w:r w:rsidRPr="00A7712E">
        <w:rPr>
          <w:rFonts w:ascii="Segoe UI" w:eastAsia="Times New Roman" w:hAnsi="Segoe UI" w:cs="Segoe UI"/>
          <w:i/>
          <w:iCs/>
          <w:color w:val="000000"/>
          <w:sz w:val="18"/>
          <w:szCs w:val="18"/>
          <w:lang w:eastAsia="es-CO"/>
        </w:rPr>
        <w:t>el valor determinado en la liquidación oficial restándole el anticipo de renta por el año 2013 y las retenciones efectuadas en dicho año, sumándole el anticipo por el año gravable 2014, lo cual no corresponde con lo previsto en la norma</w:t>
      </w:r>
      <w:r w:rsidRPr="00A7712E">
        <w:rPr>
          <w:rFonts w:ascii="Segoe UI" w:eastAsia="Times New Roman" w:hAnsi="Segoe UI" w:cs="Segoe UI"/>
          <w:color w:val="000000"/>
          <w:sz w:val="18"/>
          <w:szCs w:val="18"/>
          <w:lang w:eastAsia="es-CO"/>
        </w:rPr>
        <w:t>”. En consecuencia, fijó la sanción por inexactitud en $503.012.000, para un total saldo a pagar de $1.007.510.000, para lo cual tuvo en cuenta los datos del requerimiento especial, no de la liquidación oficial de revisión</w:t>
      </w:r>
      <w:bookmarkStart w:id="2" w:name="_ftnref3"/>
      <w:r w:rsidRPr="00A7712E">
        <w:rPr>
          <w:rFonts w:ascii="Segoe UI" w:eastAsia="Times New Roman" w:hAnsi="Segoe UI" w:cs="Segoe UI"/>
          <w:color w:val="000000"/>
          <w:sz w:val="18"/>
          <w:szCs w:val="18"/>
          <w:lang w:eastAsia="es-CO"/>
        </w:rPr>
        <w:fldChar w:fldCharType="begin"/>
      </w:r>
      <w:r w:rsidRPr="00A7712E">
        <w:rPr>
          <w:rFonts w:ascii="Segoe UI" w:eastAsia="Times New Roman" w:hAnsi="Segoe UI" w:cs="Segoe UI"/>
          <w:color w:val="000000"/>
          <w:sz w:val="18"/>
          <w:szCs w:val="18"/>
          <w:lang w:eastAsia="es-CO"/>
        </w:rPr>
        <w:instrText xml:space="preserve"> HYPERLINK "https://www.ceta.org.co/html/vista_de_un_documento.asp?DocumentoID=44226" \l "_ftn3" \o "" </w:instrText>
      </w:r>
      <w:r w:rsidRPr="00A7712E">
        <w:rPr>
          <w:rFonts w:ascii="Segoe UI" w:eastAsia="Times New Roman" w:hAnsi="Segoe UI" w:cs="Segoe UI"/>
          <w:color w:val="000000"/>
          <w:sz w:val="18"/>
          <w:szCs w:val="18"/>
          <w:lang w:eastAsia="es-CO"/>
        </w:rPr>
        <w:fldChar w:fldCharType="separate"/>
      </w:r>
      <w:r w:rsidRPr="00A7712E">
        <w:rPr>
          <w:rFonts w:ascii="Segoe UI" w:eastAsia="Times New Roman" w:hAnsi="Segoe UI" w:cs="Segoe UI"/>
          <w:color w:val="0000FF"/>
          <w:sz w:val="22"/>
          <w:lang w:eastAsia="es-CO"/>
        </w:rPr>
        <w:t>[3]</w:t>
      </w:r>
      <w:r w:rsidRPr="00A7712E">
        <w:rPr>
          <w:rFonts w:ascii="Segoe UI" w:eastAsia="Times New Roman" w:hAnsi="Segoe UI" w:cs="Segoe UI"/>
          <w:color w:val="000000"/>
          <w:sz w:val="18"/>
          <w:szCs w:val="18"/>
          <w:lang w:eastAsia="es-CO"/>
        </w:rPr>
        <w:fldChar w:fldCharType="end"/>
      </w:r>
      <w:bookmarkEnd w:id="2"/>
      <w:r w:rsidRPr="00A7712E">
        <w:rPr>
          <w:rFonts w:ascii="Segoe UI" w:eastAsia="Times New Roman" w:hAnsi="Segoe UI" w:cs="Segoe UI"/>
          <w:color w:val="000000"/>
          <w:sz w:val="18"/>
          <w:szCs w:val="18"/>
          <w:lang w:eastAsia="es-CO"/>
        </w:rPr>
        <w:t>.</w:t>
      </w:r>
    </w:p>
    <w:p w14:paraId="133BDBB0"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18"/>
          <w:szCs w:val="18"/>
          <w:lang w:eastAsia="es-CO"/>
        </w:rPr>
        <w:t> </w:t>
      </w:r>
    </w:p>
    <w:p w14:paraId="7A67A495" w14:textId="77777777" w:rsidR="00A7712E" w:rsidRPr="00A7712E" w:rsidRDefault="00A7712E" w:rsidP="00A7712E">
      <w:pPr>
        <w:spacing w:after="0" w:line="240" w:lineRule="auto"/>
        <w:jc w:val="center"/>
        <w:rPr>
          <w:rFonts w:ascii="Arial" w:eastAsia="Times New Roman" w:hAnsi="Arial" w:cs="Arial"/>
          <w:color w:val="000000"/>
          <w:sz w:val="18"/>
          <w:szCs w:val="18"/>
          <w:lang w:eastAsia="es-CO"/>
        </w:rPr>
      </w:pPr>
      <w:r w:rsidRPr="00A7712E">
        <w:rPr>
          <w:rFonts w:ascii="Segoe UI" w:eastAsia="Times New Roman" w:hAnsi="Segoe UI" w:cs="Segoe UI"/>
          <w:b/>
          <w:bCs/>
          <w:color w:val="000000"/>
          <w:sz w:val="18"/>
          <w:szCs w:val="18"/>
          <w:lang w:eastAsia="es-CO"/>
        </w:rPr>
        <w:t>RECURSO DE APELACIÓN</w:t>
      </w:r>
    </w:p>
    <w:p w14:paraId="7521EA6D"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b/>
          <w:bCs/>
          <w:color w:val="000000"/>
          <w:sz w:val="22"/>
          <w:lang w:eastAsia="es-CO"/>
        </w:rPr>
        <w:t> </w:t>
      </w:r>
    </w:p>
    <w:p w14:paraId="312B5301"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La DIAN apeló la decisión de primera instancia con fundamento en los siguientes argumentos:</w:t>
      </w:r>
    </w:p>
    <w:p w14:paraId="661C2D7F"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 </w:t>
      </w:r>
    </w:p>
    <w:p w14:paraId="620A3CB3"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El Tribunal erró al aplicar el principio de favorabilidad, porque la sanción establecida para pasivos inexistentes, contemplada en el </w:t>
      </w:r>
      <w:hyperlink r:id="rId14" w:tooltip="Estatuto Tributario CETA" w:history="1">
        <w:r w:rsidRPr="00A7712E">
          <w:rPr>
            <w:rFonts w:ascii="Segoe UI" w:eastAsia="Times New Roman" w:hAnsi="Segoe UI" w:cs="Segoe UI"/>
            <w:color w:val="0089E1"/>
            <w:sz w:val="22"/>
            <w:u w:val="single"/>
            <w:lang w:eastAsia="es-CO"/>
          </w:rPr>
          <w:t>artículo 648</w:t>
        </w:r>
      </w:hyperlink>
      <w:r w:rsidRPr="00A7712E">
        <w:rPr>
          <w:rFonts w:ascii="Segoe UI" w:eastAsia="Times New Roman" w:hAnsi="Segoe UI" w:cs="Segoe UI"/>
          <w:color w:val="000000"/>
          <w:sz w:val="22"/>
          <w:lang w:eastAsia="es-CO"/>
        </w:rPr>
        <w:t> numeral 1 del ET, modificado por el artículo 288 de la Ley 1819 de 2016, resulta más gravosa para el demandante, pues el porcentaje aplicable es del 200%. En consecuencia, debe mantenerse la sanción por inexactitud general del 160%, fijada en el acto demandado.</w:t>
      </w:r>
    </w:p>
    <w:p w14:paraId="3DC77785"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 </w:t>
      </w:r>
    </w:p>
    <w:p w14:paraId="2840F0A6" w14:textId="77777777" w:rsidR="00A7712E" w:rsidRPr="00A7712E" w:rsidRDefault="00A7712E" w:rsidP="00A7712E">
      <w:pPr>
        <w:spacing w:after="0" w:line="240" w:lineRule="auto"/>
        <w:jc w:val="center"/>
        <w:rPr>
          <w:rFonts w:ascii="Arial" w:eastAsia="Times New Roman" w:hAnsi="Arial" w:cs="Arial"/>
          <w:color w:val="000000"/>
          <w:sz w:val="18"/>
          <w:szCs w:val="18"/>
          <w:lang w:eastAsia="es-CO"/>
        </w:rPr>
      </w:pPr>
      <w:r w:rsidRPr="00A7712E">
        <w:rPr>
          <w:rFonts w:ascii="Segoe UI" w:eastAsia="Times New Roman" w:hAnsi="Segoe UI" w:cs="Segoe UI"/>
          <w:b/>
          <w:bCs/>
          <w:color w:val="000000"/>
          <w:sz w:val="22"/>
          <w:lang w:eastAsia="es-CO"/>
        </w:rPr>
        <w:t>ALEGATOS DE CONCLUSIÓN</w:t>
      </w:r>
    </w:p>
    <w:p w14:paraId="5E5CE725"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b/>
          <w:bCs/>
          <w:color w:val="000000"/>
          <w:sz w:val="22"/>
          <w:lang w:eastAsia="es-CO"/>
        </w:rPr>
        <w:t> </w:t>
      </w:r>
    </w:p>
    <w:p w14:paraId="2D1C644A"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18"/>
          <w:szCs w:val="18"/>
          <w:lang w:eastAsia="es-CO"/>
        </w:rPr>
        <w:t>La </w:t>
      </w:r>
      <w:r w:rsidRPr="00A7712E">
        <w:rPr>
          <w:rFonts w:ascii="Segoe UI" w:eastAsia="Times New Roman" w:hAnsi="Segoe UI" w:cs="Segoe UI"/>
          <w:b/>
          <w:bCs/>
          <w:color w:val="000000"/>
          <w:sz w:val="18"/>
          <w:szCs w:val="18"/>
          <w:lang w:eastAsia="es-CO"/>
        </w:rPr>
        <w:t>demandante </w:t>
      </w:r>
      <w:r w:rsidRPr="00A7712E">
        <w:rPr>
          <w:rFonts w:ascii="Segoe UI" w:eastAsia="Times New Roman" w:hAnsi="Segoe UI" w:cs="Segoe UI"/>
          <w:color w:val="000000"/>
          <w:sz w:val="18"/>
          <w:szCs w:val="18"/>
          <w:lang w:eastAsia="es-CO"/>
        </w:rPr>
        <w:t>no se pronunció.</w:t>
      </w:r>
    </w:p>
    <w:p w14:paraId="3540294D"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 </w:t>
      </w:r>
    </w:p>
    <w:p w14:paraId="797D2E35"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La </w:t>
      </w:r>
      <w:r w:rsidRPr="00A7712E">
        <w:rPr>
          <w:rFonts w:ascii="Segoe UI" w:eastAsia="Times New Roman" w:hAnsi="Segoe UI" w:cs="Segoe UI"/>
          <w:b/>
          <w:bCs/>
          <w:color w:val="000000"/>
          <w:sz w:val="22"/>
          <w:lang w:eastAsia="es-CO"/>
        </w:rPr>
        <w:t>demandada </w:t>
      </w:r>
      <w:r w:rsidRPr="00A7712E">
        <w:rPr>
          <w:rFonts w:ascii="Segoe UI" w:eastAsia="Times New Roman" w:hAnsi="Segoe UI" w:cs="Segoe UI"/>
          <w:color w:val="000000"/>
          <w:sz w:val="22"/>
          <w:lang w:eastAsia="es-CO"/>
        </w:rPr>
        <w:t>reiteró lo expuesto en el recurso de apelación.</w:t>
      </w:r>
    </w:p>
    <w:p w14:paraId="5262B325"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 </w:t>
      </w:r>
    </w:p>
    <w:p w14:paraId="2F7F7114"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El </w:t>
      </w:r>
      <w:r w:rsidRPr="00A7712E">
        <w:rPr>
          <w:rFonts w:ascii="Segoe UI" w:eastAsia="Times New Roman" w:hAnsi="Segoe UI" w:cs="Segoe UI"/>
          <w:b/>
          <w:bCs/>
          <w:color w:val="000000"/>
          <w:sz w:val="22"/>
          <w:lang w:eastAsia="es-CO"/>
        </w:rPr>
        <w:t>Ministerio Público </w:t>
      </w:r>
      <w:r w:rsidRPr="00A7712E">
        <w:rPr>
          <w:rFonts w:ascii="Segoe UI" w:eastAsia="Times New Roman" w:hAnsi="Segoe UI" w:cs="Segoe UI"/>
          <w:color w:val="000000"/>
          <w:sz w:val="22"/>
          <w:lang w:eastAsia="es-CO"/>
        </w:rPr>
        <w:t>emitió concepto en el que se solicitó que se acceda a los argumentos de la DIAN, pues está demostrado que el hecho sancionable es la inclusión de pasivos inexistentes. De ahí que la sanción del nuevo </w:t>
      </w:r>
      <w:hyperlink r:id="rId15" w:tooltip="Estatuto Tributario CETA" w:history="1">
        <w:r w:rsidRPr="00A7712E">
          <w:rPr>
            <w:rFonts w:ascii="Segoe UI" w:eastAsia="Times New Roman" w:hAnsi="Segoe UI" w:cs="Segoe UI"/>
            <w:color w:val="0089E1"/>
            <w:sz w:val="22"/>
            <w:u w:val="single"/>
            <w:lang w:eastAsia="es-CO"/>
          </w:rPr>
          <w:t>artículo 648</w:t>
        </w:r>
      </w:hyperlink>
      <w:r w:rsidRPr="00A7712E">
        <w:rPr>
          <w:rFonts w:ascii="Segoe UI" w:eastAsia="Times New Roman" w:hAnsi="Segoe UI" w:cs="Segoe UI"/>
          <w:color w:val="000000"/>
          <w:sz w:val="22"/>
          <w:lang w:eastAsia="es-CO"/>
        </w:rPr>
        <w:t> del ET. sería más gravosa que la aplicada por la DIAN en la liquidación oficial objeto de debate. Por ello, indicó que, en aplicación del principio de favorabilidad, debe mantenerse la sanción inicialmente aplicada por la DIAN.</w:t>
      </w:r>
    </w:p>
    <w:p w14:paraId="4721CF8D"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 </w:t>
      </w:r>
    </w:p>
    <w:p w14:paraId="77243268" w14:textId="77777777" w:rsidR="00A7712E" w:rsidRPr="00A7712E" w:rsidRDefault="00A7712E" w:rsidP="00A7712E">
      <w:pPr>
        <w:spacing w:after="0" w:line="240" w:lineRule="auto"/>
        <w:jc w:val="center"/>
        <w:rPr>
          <w:rFonts w:ascii="Arial" w:eastAsia="Times New Roman" w:hAnsi="Arial" w:cs="Arial"/>
          <w:color w:val="000000"/>
          <w:sz w:val="18"/>
          <w:szCs w:val="18"/>
          <w:lang w:eastAsia="es-CO"/>
        </w:rPr>
      </w:pPr>
      <w:r w:rsidRPr="00A7712E">
        <w:rPr>
          <w:rFonts w:ascii="Segoe UI" w:eastAsia="Times New Roman" w:hAnsi="Segoe UI" w:cs="Segoe UI"/>
          <w:b/>
          <w:bCs/>
          <w:color w:val="000000"/>
          <w:sz w:val="22"/>
          <w:lang w:eastAsia="es-CO"/>
        </w:rPr>
        <w:t>CONSIDERACIONES DE LA SALA</w:t>
      </w:r>
    </w:p>
    <w:p w14:paraId="42AEA5FC"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b/>
          <w:bCs/>
          <w:color w:val="000000"/>
          <w:sz w:val="22"/>
          <w:lang w:eastAsia="es-CO"/>
        </w:rPr>
        <w:t> </w:t>
      </w:r>
    </w:p>
    <w:p w14:paraId="41228518"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En los términos de la apelación interpuesta por la demandada, la Sala decide si debe mantenerse la sanción por inexactitud impuesta por el Tribunal, que tuvo en cuenta el principio de favorabilidad (tarifa del 100%).</w:t>
      </w:r>
    </w:p>
    <w:p w14:paraId="6458CDAC"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 </w:t>
      </w:r>
    </w:p>
    <w:p w14:paraId="3DD7252A"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Al respecto, se advierte que el apelante único no tiene interés jurídico para recurrir la decisión de primera instancia y solicitar que se “mantenga” la sanción por inexactitud del 160% que, según indicó, se impuso en el acto acusado. Lo anterior, teniendo en cuenta lo siguiente:</w:t>
      </w:r>
    </w:p>
    <w:p w14:paraId="01B98265"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 </w:t>
      </w:r>
    </w:p>
    <w:p w14:paraId="44CC10C4"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Respecto a la determinación de la sanción por inexactitud, en la liquidación oficial de revisión demandada, la DIAN expresó que tendría en cuenta el principio de favorabilidad en materia sancionatoria (</w:t>
      </w:r>
      <w:hyperlink r:id="rId16" w:tooltip="Estatuto Tributario CETA" w:history="1">
        <w:r w:rsidRPr="00A7712E">
          <w:rPr>
            <w:rFonts w:ascii="Segoe UI" w:eastAsia="Times New Roman" w:hAnsi="Segoe UI" w:cs="Segoe UI"/>
            <w:color w:val="0089E1"/>
            <w:sz w:val="22"/>
            <w:u w:val="single"/>
            <w:lang w:eastAsia="es-CO"/>
          </w:rPr>
          <w:t>artículo 640</w:t>
        </w:r>
      </w:hyperlink>
      <w:r w:rsidRPr="00A7712E">
        <w:rPr>
          <w:rFonts w:ascii="Segoe UI" w:eastAsia="Times New Roman" w:hAnsi="Segoe UI" w:cs="Segoe UI"/>
          <w:color w:val="000000"/>
          <w:sz w:val="22"/>
          <w:lang w:eastAsia="es-CO"/>
        </w:rPr>
        <w:t> parágrafo 5 del Estatuto Tributario, modificado por el artículo 282 de la Ley 1819 de 2016). Por ello, para liquidar la sanción, aplicó un porcentaje equivalente al 100% de la diferencia entre el saldo a pagar determinado en la liquidación oficial y el declarado por el contribuyente, así</w:t>
      </w:r>
      <w:bookmarkStart w:id="3" w:name="_ftnref4"/>
      <w:r w:rsidRPr="00A7712E">
        <w:rPr>
          <w:rFonts w:ascii="Segoe UI" w:eastAsia="Times New Roman" w:hAnsi="Segoe UI" w:cs="Segoe UI"/>
          <w:color w:val="000000"/>
          <w:sz w:val="22"/>
          <w:lang w:eastAsia="es-CO"/>
        </w:rPr>
        <w:fldChar w:fldCharType="begin"/>
      </w:r>
      <w:r w:rsidRPr="00A7712E">
        <w:rPr>
          <w:rFonts w:ascii="Segoe UI" w:eastAsia="Times New Roman" w:hAnsi="Segoe UI" w:cs="Segoe UI"/>
          <w:color w:val="000000"/>
          <w:sz w:val="22"/>
          <w:lang w:eastAsia="es-CO"/>
        </w:rPr>
        <w:instrText xml:space="preserve"> HYPERLINK "https://www.ceta.org.co/html/vista_de_un_documento.asp?DocumentoID=44226" \l "_ftn4" \o "" </w:instrText>
      </w:r>
      <w:r w:rsidRPr="00A7712E">
        <w:rPr>
          <w:rFonts w:ascii="Segoe UI" w:eastAsia="Times New Roman" w:hAnsi="Segoe UI" w:cs="Segoe UI"/>
          <w:color w:val="000000"/>
          <w:sz w:val="22"/>
          <w:lang w:eastAsia="es-CO"/>
        </w:rPr>
        <w:fldChar w:fldCharType="separate"/>
      </w:r>
      <w:r w:rsidRPr="00A7712E">
        <w:rPr>
          <w:rFonts w:ascii="Segoe UI" w:eastAsia="Times New Roman" w:hAnsi="Segoe UI" w:cs="Segoe UI"/>
          <w:color w:val="0000FF"/>
          <w:sz w:val="22"/>
          <w:lang w:eastAsia="es-CO"/>
        </w:rPr>
        <w:t>[4]</w:t>
      </w:r>
      <w:r w:rsidRPr="00A7712E">
        <w:rPr>
          <w:rFonts w:ascii="Segoe UI" w:eastAsia="Times New Roman" w:hAnsi="Segoe UI" w:cs="Segoe UI"/>
          <w:color w:val="000000"/>
          <w:sz w:val="22"/>
          <w:lang w:eastAsia="es-CO"/>
        </w:rPr>
        <w:fldChar w:fldCharType="end"/>
      </w:r>
      <w:bookmarkEnd w:id="3"/>
      <w:r w:rsidRPr="00A7712E">
        <w:rPr>
          <w:rFonts w:ascii="Segoe UI" w:eastAsia="Times New Roman" w:hAnsi="Segoe UI" w:cs="Segoe UI"/>
          <w:color w:val="000000"/>
          <w:sz w:val="22"/>
          <w:lang w:eastAsia="es-CO"/>
        </w:rPr>
        <w:t>:</w:t>
      </w:r>
    </w:p>
    <w:p w14:paraId="63AC1242"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 </w:t>
      </w:r>
    </w:p>
    <w:tbl>
      <w:tblPr>
        <w:tblW w:w="0" w:type="auto"/>
        <w:jc w:val="center"/>
        <w:tblCellMar>
          <w:left w:w="0" w:type="dxa"/>
          <w:right w:w="0" w:type="dxa"/>
        </w:tblCellMar>
        <w:tblLook w:val="04A0" w:firstRow="1" w:lastRow="0" w:firstColumn="1" w:lastColumn="0" w:noHBand="0" w:noVBand="1"/>
      </w:tblPr>
      <w:tblGrid>
        <w:gridCol w:w="4666"/>
        <w:gridCol w:w="1185"/>
      </w:tblGrid>
      <w:tr w:rsidR="00A7712E" w:rsidRPr="00A7712E" w14:paraId="7BC6862F" w14:textId="77777777" w:rsidTr="00A7712E">
        <w:trPr>
          <w:trHeight w:val="235"/>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14:paraId="5B4563C3" w14:textId="77777777" w:rsidR="00A7712E" w:rsidRPr="00A7712E" w:rsidRDefault="00A7712E" w:rsidP="00A7712E">
            <w:pPr>
              <w:spacing w:after="0" w:line="240" w:lineRule="auto"/>
              <w:jc w:val="both"/>
              <w:rPr>
                <w:rFonts w:eastAsia="Times New Roman" w:cs="Times New Roman"/>
                <w:szCs w:val="24"/>
                <w:lang w:eastAsia="es-CO"/>
              </w:rPr>
            </w:pPr>
            <w:proofErr w:type="gramStart"/>
            <w:r w:rsidRPr="00A7712E">
              <w:rPr>
                <w:rFonts w:ascii="Segoe UI" w:eastAsia="Times New Roman" w:hAnsi="Segoe UI" w:cs="Segoe UI"/>
                <w:sz w:val="20"/>
                <w:szCs w:val="20"/>
                <w:lang w:eastAsia="es-CO"/>
              </w:rPr>
              <w:t>Total</w:t>
            </w:r>
            <w:proofErr w:type="gramEnd"/>
            <w:r w:rsidRPr="00A7712E">
              <w:rPr>
                <w:rFonts w:ascii="Segoe UI" w:eastAsia="Times New Roman" w:hAnsi="Segoe UI" w:cs="Segoe UI"/>
                <w:sz w:val="20"/>
                <w:szCs w:val="20"/>
                <w:lang w:eastAsia="es-CO"/>
              </w:rPr>
              <w:t xml:space="preserve"> saldo a pagar determinado (sin sanciones)</w:t>
            </w:r>
          </w:p>
        </w:tc>
        <w:tc>
          <w:tcPr>
            <w:tcW w:w="0" w:type="auto"/>
            <w:tcBorders>
              <w:top w:val="single" w:sz="8" w:space="0" w:color="000000"/>
              <w:left w:val="nil"/>
              <w:bottom w:val="single" w:sz="8" w:space="0" w:color="000000"/>
              <w:right w:val="single" w:sz="8" w:space="0" w:color="000000"/>
            </w:tcBorders>
            <w:shd w:val="clear" w:color="auto" w:fill="auto"/>
            <w:hideMark/>
          </w:tcPr>
          <w:p w14:paraId="10111E5D" w14:textId="77777777" w:rsidR="00A7712E" w:rsidRPr="00A7712E" w:rsidRDefault="00A7712E" w:rsidP="00A7712E">
            <w:pPr>
              <w:spacing w:after="0" w:line="240" w:lineRule="auto"/>
              <w:jc w:val="right"/>
              <w:rPr>
                <w:rFonts w:eastAsia="Times New Roman" w:cs="Times New Roman"/>
                <w:szCs w:val="24"/>
                <w:lang w:eastAsia="es-CO"/>
              </w:rPr>
            </w:pPr>
            <w:r w:rsidRPr="00A7712E">
              <w:rPr>
                <w:rFonts w:ascii="Segoe UI" w:eastAsia="Times New Roman" w:hAnsi="Segoe UI" w:cs="Segoe UI"/>
                <w:sz w:val="20"/>
                <w:szCs w:val="20"/>
                <w:lang w:eastAsia="es-CO"/>
              </w:rPr>
              <w:t>$496.001.000</w:t>
            </w:r>
          </w:p>
        </w:tc>
      </w:tr>
      <w:tr w:rsidR="00A7712E" w:rsidRPr="00A7712E" w14:paraId="1B4D4978" w14:textId="77777777" w:rsidTr="00A7712E">
        <w:trPr>
          <w:trHeight w:val="227"/>
          <w:jc w:val="center"/>
        </w:trPr>
        <w:tc>
          <w:tcPr>
            <w:tcW w:w="0" w:type="auto"/>
            <w:tcBorders>
              <w:top w:val="nil"/>
              <w:left w:val="single" w:sz="8" w:space="0" w:color="000000"/>
              <w:bottom w:val="single" w:sz="8" w:space="0" w:color="000000"/>
              <w:right w:val="single" w:sz="8" w:space="0" w:color="000000"/>
            </w:tcBorders>
            <w:shd w:val="clear" w:color="auto" w:fill="auto"/>
            <w:hideMark/>
          </w:tcPr>
          <w:p w14:paraId="0A16C651" w14:textId="77777777" w:rsidR="00A7712E" w:rsidRPr="00A7712E" w:rsidRDefault="00A7712E" w:rsidP="00A7712E">
            <w:pPr>
              <w:spacing w:after="0" w:line="240" w:lineRule="auto"/>
              <w:jc w:val="both"/>
              <w:rPr>
                <w:rFonts w:eastAsia="Times New Roman" w:cs="Times New Roman"/>
                <w:szCs w:val="24"/>
                <w:lang w:eastAsia="es-CO"/>
              </w:rPr>
            </w:pPr>
            <w:r w:rsidRPr="00A7712E">
              <w:rPr>
                <w:rFonts w:ascii="Segoe UI" w:eastAsia="Times New Roman" w:hAnsi="Segoe UI" w:cs="Segoe UI"/>
                <w:sz w:val="20"/>
                <w:szCs w:val="20"/>
                <w:lang w:eastAsia="es-CO"/>
              </w:rPr>
              <w:t>Menos: Total saldo a pagar declarado (sin sanciones)</w:t>
            </w:r>
          </w:p>
        </w:tc>
        <w:tc>
          <w:tcPr>
            <w:tcW w:w="0" w:type="auto"/>
            <w:tcBorders>
              <w:top w:val="nil"/>
              <w:left w:val="nil"/>
              <w:bottom w:val="single" w:sz="8" w:space="0" w:color="000000"/>
              <w:right w:val="single" w:sz="8" w:space="0" w:color="000000"/>
            </w:tcBorders>
            <w:shd w:val="clear" w:color="auto" w:fill="auto"/>
            <w:hideMark/>
          </w:tcPr>
          <w:p w14:paraId="26C2D40A" w14:textId="77777777" w:rsidR="00A7712E" w:rsidRPr="00A7712E" w:rsidRDefault="00A7712E" w:rsidP="00A7712E">
            <w:pPr>
              <w:spacing w:after="0" w:line="240" w:lineRule="auto"/>
              <w:jc w:val="right"/>
              <w:rPr>
                <w:rFonts w:eastAsia="Times New Roman" w:cs="Times New Roman"/>
                <w:szCs w:val="24"/>
                <w:lang w:eastAsia="es-CO"/>
              </w:rPr>
            </w:pPr>
            <w:r w:rsidRPr="00A7712E">
              <w:rPr>
                <w:rFonts w:ascii="Segoe UI" w:eastAsia="Times New Roman" w:hAnsi="Segoe UI" w:cs="Segoe UI"/>
                <w:sz w:val="20"/>
                <w:szCs w:val="20"/>
                <w:lang w:eastAsia="es-CO"/>
              </w:rPr>
              <w:t>$1.486.000</w:t>
            </w:r>
          </w:p>
        </w:tc>
      </w:tr>
      <w:tr w:rsidR="00A7712E" w:rsidRPr="00A7712E" w14:paraId="15D9F0FA" w14:textId="77777777" w:rsidTr="00A7712E">
        <w:trPr>
          <w:trHeight w:val="227"/>
          <w:jc w:val="center"/>
        </w:trPr>
        <w:tc>
          <w:tcPr>
            <w:tcW w:w="0" w:type="auto"/>
            <w:tcBorders>
              <w:top w:val="nil"/>
              <w:left w:val="single" w:sz="8" w:space="0" w:color="000000"/>
              <w:bottom w:val="single" w:sz="8" w:space="0" w:color="000000"/>
              <w:right w:val="single" w:sz="8" w:space="0" w:color="000000"/>
            </w:tcBorders>
            <w:shd w:val="clear" w:color="auto" w:fill="auto"/>
            <w:hideMark/>
          </w:tcPr>
          <w:p w14:paraId="7F083F28" w14:textId="77777777" w:rsidR="00A7712E" w:rsidRPr="00A7712E" w:rsidRDefault="00A7712E" w:rsidP="00A7712E">
            <w:pPr>
              <w:spacing w:after="0" w:line="240" w:lineRule="auto"/>
              <w:jc w:val="both"/>
              <w:rPr>
                <w:rFonts w:eastAsia="Times New Roman" w:cs="Times New Roman"/>
                <w:szCs w:val="24"/>
                <w:lang w:eastAsia="es-CO"/>
              </w:rPr>
            </w:pPr>
            <w:r w:rsidRPr="00A7712E">
              <w:rPr>
                <w:rFonts w:ascii="Segoe UI" w:eastAsia="Times New Roman" w:hAnsi="Segoe UI" w:cs="Segoe UI"/>
                <w:sz w:val="20"/>
                <w:szCs w:val="20"/>
                <w:lang w:eastAsia="es-CO"/>
              </w:rPr>
              <w:t>Base de sanción por inexactitud</w:t>
            </w:r>
          </w:p>
        </w:tc>
        <w:tc>
          <w:tcPr>
            <w:tcW w:w="0" w:type="auto"/>
            <w:tcBorders>
              <w:top w:val="nil"/>
              <w:left w:val="nil"/>
              <w:bottom w:val="single" w:sz="8" w:space="0" w:color="000000"/>
              <w:right w:val="single" w:sz="8" w:space="0" w:color="000000"/>
            </w:tcBorders>
            <w:shd w:val="clear" w:color="auto" w:fill="auto"/>
            <w:hideMark/>
          </w:tcPr>
          <w:p w14:paraId="7A6BD511" w14:textId="77777777" w:rsidR="00A7712E" w:rsidRPr="00A7712E" w:rsidRDefault="00A7712E" w:rsidP="00A7712E">
            <w:pPr>
              <w:spacing w:after="0" w:line="240" w:lineRule="auto"/>
              <w:jc w:val="right"/>
              <w:rPr>
                <w:rFonts w:eastAsia="Times New Roman" w:cs="Times New Roman"/>
                <w:szCs w:val="24"/>
                <w:lang w:eastAsia="es-CO"/>
              </w:rPr>
            </w:pPr>
            <w:r w:rsidRPr="00A7712E">
              <w:rPr>
                <w:rFonts w:ascii="Segoe UI" w:eastAsia="Times New Roman" w:hAnsi="Segoe UI" w:cs="Segoe UI"/>
                <w:sz w:val="20"/>
                <w:szCs w:val="20"/>
                <w:lang w:eastAsia="es-CO"/>
              </w:rPr>
              <w:t>$494.515.000</w:t>
            </w:r>
          </w:p>
        </w:tc>
      </w:tr>
      <w:tr w:rsidR="00A7712E" w:rsidRPr="00A7712E" w14:paraId="446B1A1E" w14:textId="77777777" w:rsidTr="00A7712E">
        <w:trPr>
          <w:trHeight w:val="234"/>
          <w:jc w:val="center"/>
        </w:trPr>
        <w:tc>
          <w:tcPr>
            <w:tcW w:w="0" w:type="auto"/>
            <w:tcBorders>
              <w:top w:val="nil"/>
              <w:left w:val="single" w:sz="8" w:space="0" w:color="000000"/>
              <w:bottom w:val="single" w:sz="8" w:space="0" w:color="000000"/>
              <w:right w:val="single" w:sz="8" w:space="0" w:color="000000"/>
            </w:tcBorders>
            <w:shd w:val="clear" w:color="auto" w:fill="auto"/>
            <w:hideMark/>
          </w:tcPr>
          <w:p w14:paraId="64FE6DC7" w14:textId="77777777" w:rsidR="00A7712E" w:rsidRPr="00A7712E" w:rsidRDefault="00A7712E" w:rsidP="00A7712E">
            <w:pPr>
              <w:spacing w:after="0" w:line="240" w:lineRule="auto"/>
              <w:jc w:val="both"/>
              <w:rPr>
                <w:rFonts w:eastAsia="Times New Roman" w:cs="Times New Roman"/>
                <w:szCs w:val="24"/>
                <w:lang w:eastAsia="es-CO"/>
              </w:rPr>
            </w:pPr>
            <w:proofErr w:type="gramStart"/>
            <w:r w:rsidRPr="00A7712E">
              <w:rPr>
                <w:rFonts w:ascii="Segoe UI" w:eastAsia="Times New Roman" w:hAnsi="Segoe UI" w:cs="Segoe UI"/>
                <w:sz w:val="20"/>
                <w:szCs w:val="20"/>
                <w:lang w:eastAsia="es-CO"/>
              </w:rPr>
              <w:t>Porcentaje a aplicar</w:t>
            </w:r>
            <w:proofErr w:type="gramEnd"/>
            <w:r w:rsidRPr="00A7712E">
              <w:rPr>
                <w:rFonts w:ascii="Segoe UI" w:eastAsia="Times New Roman" w:hAnsi="Segoe UI" w:cs="Segoe UI"/>
                <w:sz w:val="20"/>
                <w:szCs w:val="20"/>
                <w:lang w:eastAsia="es-CO"/>
              </w:rPr>
              <w:t xml:space="preserve"> según </w:t>
            </w:r>
            <w:hyperlink r:id="rId17" w:tooltip="Estatuto Tributario CETA" w:history="1">
              <w:r w:rsidRPr="00A7712E">
                <w:rPr>
                  <w:rFonts w:ascii="Segoe UI" w:eastAsia="Times New Roman" w:hAnsi="Segoe UI" w:cs="Segoe UI"/>
                  <w:color w:val="0089E1"/>
                  <w:sz w:val="20"/>
                  <w:szCs w:val="20"/>
                  <w:u w:val="single"/>
                  <w:lang w:eastAsia="es-CO"/>
                </w:rPr>
                <w:t>artículo 648</w:t>
              </w:r>
            </w:hyperlink>
            <w:r w:rsidRPr="00A7712E">
              <w:rPr>
                <w:rFonts w:ascii="Segoe UI" w:eastAsia="Times New Roman" w:hAnsi="Segoe UI" w:cs="Segoe UI"/>
                <w:sz w:val="20"/>
                <w:szCs w:val="20"/>
                <w:lang w:eastAsia="es-CO"/>
              </w:rPr>
              <w:t> del E.T. 100%</w:t>
            </w:r>
          </w:p>
        </w:tc>
        <w:tc>
          <w:tcPr>
            <w:tcW w:w="0" w:type="auto"/>
            <w:tcBorders>
              <w:top w:val="nil"/>
              <w:left w:val="nil"/>
              <w:bottom w:val="single" w:sz="8" w:space="0" w:color="000000"/>
              <w:right w:val="single" w:sz="8" w:space="0" w:color="000000"/>
            </w:tcBorders>
            <w:shd w:val="clear" w:color="auto" w:fill="auto"/>
            <w:hideMark/>
          </w:tcPr>
          <w:p w14:paraId="0FC645A9" w14:textId="77777777" w:rsidR="00A7712E" w:rsidRPr="00A7712E" w:rsidRDefault="00A7712E" w:rsidP="00A7712E">
            <w:pPr>
              <w:spacing w:after="0" w:line="240" w:lineRule="auto"/>
              <w:jc w:val="right"/>
              <w:rPr>
                <w:rFonts w:eastAsia="Times New Roman" w:cs="Times New Roman"/>
                <w:szCs w:val="24"/>
                <w:lang w:eastAsia="es-CO"/>
              </w:rPr>
            </w:pPr>
            <w:r w:rsidRPr="00A7712E">
              <w:rPr>
                <w:rFonts w:ascii="Segoe UI" w:eastAsia="Times New Roman" w:hAnsi="Segoe UI" w:cs="Segoe UI"/>
                <w:sz w:val="20"/>
                <w:szCs w:val="20"/>
                <w:lang w:eastAsia="es-CO"/>
              </w:rPr>
              <w:t>100%</w:t>
            </w:r>
          </w:p>
        </w:tc>
      </w:tr>
      <w:tr w:rsidR="00A7712E" w:rsidRPr="00A7712E" w14:paraId="5AA9510A" w14:textId="77777777" w:rsidTr="00A7712E">
        <w:trPr>
          <w:trHeight w:val="227"/>
          <w:jc w:val="center"/>
        </w:trPr>
        <w:tc>
          <w:tcPr>
            <w:tcW w:w="0" w:type="auto"/>
            <w:tcBorders>
              <w:top w:val="nil"/>
              <w:left w:val="single" w:sz="8" w:space="0" w:color="000000"/>
              <w:bottom w:val="single" w:sz="8" w:space="0" w:color="000000"/>
              <w:right w:val="single" w:sz="8" w:space="0" w:color="000000"/>
            </w:tcBorders>
            <w:shd w:val="clear" w:color="auto" w:fill="auto"/>
            <w:hideMark/>
          </w:tcPr>
          <w:p w14:paraId="5BD5D3CD" w14:textId="77777777" w:rsidR="00A7712E" w:rsidRPr="00A7712E" w:rsidRDefault="00A7712E" w:rsidP="00A7712E">
            <w:pPr>
              <w:spacing w:after="0" w:line="240" w:lineRule="auto"/>
              <w:jc w:val="both"/>
              <w:rPr>
                <w:rFonts w:eastAsia="Times New Roman" w:cs="Times New Roman"/>
                <w:szCs w:val="24"/>
                <w:lang w:eastAsia="es-CO"/>
              </w:rPr>
            </w:pPr>
            <w:r w:rsidRPr="00A7712E">
              <w:rPr>
                <w:rFonts w:ascii="Segoe UI" w:eastAsia="Times New Roman" w:hAnsi="Segoe UI" w:cs="Segoe UI"/>
                <w:sz w:val="20"/>
                <w:szCs w:val="20"/>
                <w:lang w:eastAsia="es-CO"/>
              </w:rPr>
              <w:t>SANCIÓN POR INEXACTITUD</w:t>
            </w:r>
          </w:p>
        </w:tc>
        <w:tc>
          <w:tcPr>
            <w:tcW w:w="0" w:type="auto"/>
            <w:tcBorders>
              <w:top w:val="nil"/>
              <w:left w:val="nil"/>
              <w:bottom w:val="single" w:sz="8" w:space="0" w:color="000000"/>
              <w:right w:val="single" w:sz="8" w:space="0" w:color="000000"/>
            </w:tcBorders>
            <w:shd w:val="clear" w:color="auto" w:fill="auto"/>
            <w:hideMark/>
          </w:tcPr>
          <w:p w14:paraId="352B56AF" w14:textId="77777777" w:rsidR="00A7712E" w:rsidRPr="00A7712E" w:rsidRDefault="00A7712E" w:rsidP="00A7712E">
            <w:pPr>
              <w:spacing w:after="0" w:line="240" w:lineRule="auto"/>
              <w:jc w:val="right"/>
              <w:rPr>
                <w:rFonts w:eastAsia="Times New Roman" w:cs="Times New Roman"/>
                <w:szCs w:val="24"/>
                <w:lang w:eastAsia="es-CO"/>
              </w:rPr>
            </w:pPr>
            <w:r w:rsidRPr="00A7712E">
              <w:rPr>
                <w:rFonts w:ascii="Segoe UI" w:eastAsia="Times New Roman" w:hAnsi="Segoe UI" w:cs="Segoe UI"/>
                <w:sz w:val="20"/>
                <w:szCs w:val="20"/>
                <w:lang w:eastAsia="es-CO"/>
              </w:rPr>
              <w:t>$494.515.000</w:t>
            </w:r>
          </w:p>
        </w:tc>
      </w:tr>
    </w:tbl>
    <w:p w14:paraId="2C96C1D4"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 </w:t>
      </w:r>
    </w:p>
    <w:p w14:paraId="2E96A9A6"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 </w:t>
      </w:r>
    </w:p>
    <w:p w14:paraId="64F711A8"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lastRenderedPageBreak/>
        <w:t>Así, dicho valor fue el que se tuvo en cuenta en el “renglón 100- sanciones” de la liquidación oficial de revisión demandada</w:t>
      </w:r>
      <w:bookmarkStart w:id="4" w:name="_ftnref5"/>
      <w:r w:rsidRPr="00A7712E">
        <w:rPr>
          <w:rFonts w:ascii="Segoe UI" w:eastAsia="Times New Roman" w:hAnsi="Segoe UI" w:cs="Segoe UI"/>
          <w:color w:val="000000"/>
          <w:sz w:val="22"/>
          <w:lang w:eastAsia="es-CO"/>
        </w:rPr>
        <w:fldChar w:fldCharType="begin"/>
      </w:r>
      <w:r w:rsidRPr="00A7712E">
        <w:rPr>
          <w:rFonts w:ascii="Segoe UI" w:eastAsia="Times New Roman" w:hAnsi="Segoe UI" w:cs="Segoe UI"/>
          <w:color w:val="000000"/>
          <w:sz w:val="22"/>
          <w:lang w:eastAsia="es-CO"/>
        </w:rPr>
        <w:instrText xml:space="preserve"> HYPERLINK "https://www.ceta.org.co/html/vista_de_un_documento.asp?DocumentoID=44226" \l "_ftn5" \o "" </w:instrText>
      </w:r>
      <w:r w:rsidRPr="00A7712E">
        <w:rPr>
          <w:rFonts w:ascii="Segoe UI" w:eastAsia="Times New Roman" w:hAnsi="Segoe UI" w:cs="Segoe UI"/>
          <w:color w:val="000000"/>
          <w:sz w:val="22"/>
          <w:lang w:eastAsia="es-CO"/>
        </w:rPr>
        <w:fldChar w:fldCharType="separate"/>
      </w:r>
      <w:r w:rsidRPr="00A7712E">
        <w:rPr>
          <w:rFonts w:ascii="Segoe UI" w:eastAsia="Times New Roman" w:hAnsi="Segoe UI" w:cs="Segoe UI"/>
          <w:color w:val="0000FF"/>
          <w:sz w:val="22"/>
          <w:lang w:eastAsia="es-CO"/>
        </w:rPr>
        <w:t>[5]</w:t>
      </w:r>
      <w:r w:rsidRPr="00A7712E">
        <w:rPr>
          <w:rFonts w:ascii="Segoe UI" w:eastAsia="Times New Roman" w:hAnsi="Segoe UI" w:cs="Segoe UI"/>
          <w:color w:val="000000"/>
          <w:sz w:val="22"/>
          <w:lang w:eastAsia="es-CO"/>
        </w:rPr>
        <w:fldChar w:fldCharType="end"/>
      </w:r>
      <w:bookmarkEnd w:id="4"/>
      <w:r w:rsidRPr="00A7712E">
        <w:rPr>
          <w:rFonts w:ascii="Segoe UI" w:eastAsia="Times New Roman" w:hAnsi="Segoe UI" w:cs="Segoe UI"/>
          <w:color w:val="000000"/>
          <w:sz w:val="22"/>
          <w:lang w:eastAsia="es-CO"/>
        </w:rPr>
        <w:t>.</w:t>
      </w:r>
    </w:p>
    <w:p w14:paraId="756D3764"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 </w:t>
      </w:r>
    </w:p>
    <w:p w14:paraId="79F2DD9A"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Por su parte, con base en el principio de favorabilidad, el Tribunal “modificó” la liquidación oficial de revisión para determinar la sanción por inexactitud a la tarifa del 100% de la diferencia entre el saldo a pagar determinado en la liquidación oficial y el declarado por el contribuyente. Lo anterior, a pesar de que el acto demandado había determinado ya la sanción por inexactitud a esa misma tarifa, teniendo en cuenta, precisamente, el principio de favorabilidad. Así mismo, el Tribunal fijó una sanción por inexactitud del 100%, equivalente a $503.012.000, esto es, mayor a la fijada por la DIAN, y justificó ese nuevo valor.</w:t>
      </w:r>
    </w:p>
    <w:p w14:paraId="752C5AE6"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 </w:t>
      </w:r>
    </w:p>
    <w:p w14:paraId="41A8106E"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La DIAN, apelante única, limita la apelación a cuestionar la aplicación del principio de favorabilidad, pues, según el </w:t>
      </w:r>
      <w:hyperlink r:id="rId18" w:tooltip="Estatuto Tributario CETA" w:history="1">
        <w:r w:rsidRPr="00A7712E">
          <w:rPr>
            <w:rFonts w:ascii="Segoe UI" w:eastAsia="Times New Roman" w:hAnsi="Segoe UI" w:cs="Segoe UI"/>
            <w:color w:val="0089E1"/>
            <w:sz w:val="22"/>
            <w:u w:val="single"/>
            <w:lang w:eastAsia="es-CO"/>
          </w:rPr>
          <w:t>artículo 648</w:t>
        </w:r>
      </w:hyperlink>
      <w:r w:rsidRPr="00A7712E">
        <w:rPr>
          <w:rFonts w:ascii="Segoe UI" w:eastAsia="Times New Roman" w:hAnsi="Segoe UI" w:cs="Segoe UI"/>
          <w:color w:val="000000"/>
          <w:sz w:val="22"/>
          <w:lang w:eastAsia="es-CO"/>
        </w:rPr>
        <w:t> numeral 1 del ET, modificado por el artículo 288 de la Ley 1819 de 2016, la sanción por inexactitud derivada de la inclusión de pasivos inexistentes es del 200%, esto es, resulta más gravosa que la sanción general del 160%. No obstante, no advirtió que cuando expidió el acto demandado ya había aceptado la aplicación del principio de favorabilidad y, por ello, había liquidado la sanción a la tarifa del 100%.</w:t>
      </w:r>
    </w:p>
    <w:p w14:paraId="678B34EF"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 </w:t>
      </w:r>
    </w:p>
    <w:p w14:paraId="627AA105"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En consecuencia, lo decidido en el fallo apelado, en lo atinente a la determinación de la sanción por inexactitud con base en el principio de favorabilidad, corresponde a lo decidido en la liquidación oficial de revisión demandada.</w:t>
      </w:r>
    </w:p>
    <w:p w14:paraId="158021BF"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 </w:t>
      </w:r>
    </w:p>
    <w:p w14:paraId="6F9B698F"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Por tanto, la decisión contenida en el fallo apelado no resulta desfavorable a la apelante, que fue quien expidió el acto. De ahí que, de conformidad con el artículo 320 del CGP, aplicable a este asunto por remisión del artículo 306 del CPACA, la apelante no tiene interés para recurrir la decisión, porque, de acuerdo con las normas citadas, el recurso solo puede ser interpuesto por la parte a quien le haya sido desfavorable la providencia</w:t>
      </w:r>
      <w:bookmarkStart w:id="5" w:name="_ftnref6"/>
      <w:r w:rsidRPr="00A7712E">
        <w:rPr>
          <w:rFonts w:ascii="Segoe UI" w:eastAsia="Times New Roman" w:hAnsi="Segoe UI" w:cs="Segoe UI"/>
          <w:color w:val="000000"/>
          <w:sz w:val="22"/>
          <w:lang w:eastAsia="es-CO"/>
        </w:rPr>
        <w:fldChar w:fldCharType="begin"/>
      </w:r>
      <w:r w:rsidRPr="00A7712E">
        <w:rPr>
          <w:rFonts w:ascii="Segoe UI" w:eastAsia="Times New Roman" w:hAnsi="Segoe UI" w:cs="Segoe UI"/>
          <w:color w:val="000000"/>
          <w:sz w:val="22"/>
          <w:lang w:eastAsia="es-CO"/>
        </w:rPr>
        <w:instrText xml:space="preserve"> HYPERLINK "https://www.ceta.org.co/html/vista_de_un_documento.asp?DocumentoID=44226" \l "_ftn6" \o "" </w:instrText>
      </w:r>
      <w:r w:rsidRPr="00A7712E">
        <w:rPr>
          <w:rFonts w:ascii="Segoe UI" w:eastAsia="Times New Roman" w:hAnsi="Segoe UI" w:cs="Segoe UI"/>
          <w:color w:val="000000"/>
          <w:sz w:val="22"/>
          <w:lang w:eastAsia="es-CO"/>
        </w:rPr>
        <w:fldChar w:fldCharType="separate"/>
      </w:r>
      <w:r w:rsidRPr="00A7712E">
        <w:rPr>
          <w:rFonts w:ascii="Segoe UI" w:eastAsia="Times New Roman" w:hAnsi="Segoe UI" w:cs="Segoe UI"/>
          <w:color w:val="0000FF"/>
          <w:sz w:val="22"/>
          <w:lang w:eastAsia="es-CO"/>
        </w:rPr>
        <w:t>[6]</w:t>
      </w:r>
      <w:r w:rsidRPr="00A7712E">
        <w:rPr>
          <w:rFonts w:ascii="Segoe UI" w:eastAsia="Times New Roman" w:hAnsi="Segoe UI" w:cs="Segoe UI"/>
          <w:color w:val="000000"/>
          <w:sz w:val="22"/>
          <w:lang w:eastAsia="es-CO"/>
        </w:rPr>
        <w:fldChar w:fldCharType="end"/>
      </w:r>
      <w:bookmarkEnd w:id="5"/>
      <w:r w:rsidRPr="00A7712E">
        <w:rPr>
          <w:rFonts w:ascii="Segoe UI" w:eastAsia="Times New Roman" w:hAnsi="Segoe UI" w:cs="Segoe UI"/>
          <w:color w:val="000000"/>
          <w:sz w:val="22"/>
          <w:lang w:eastAsia="es-CO"/>
        </w:rPr>
        <w:t>.</w:t>
      </w:r>
    </w:p>
    <w:p w14:paraId="382D9699"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 </w:t>
      </w:r>
    </w:p>
    <w:p w14:paraId="47F74AF7"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Lo anterior resultaría suficiente para confirmar la sentencia apelada. Sin embargo, comoquiera que el fallo del Tribunal fija una sanción mayor a la prevista en el acto demandado, en aplicación del artículo 187 del CPACA, que, en general, permite al juez restablecer el derecho conforme legalmente corresponde y, en observancia de la técnica jurídica, se impone revocar los numerales primero y segundo de la parte resolutiva de la sentencia apelada para, en su lugar, negar las pretensiones de la demanda. Esto, porque el acto demandado debe seguir formando parte del ordenamiento jurídico y el fallo apelado excedió el contenido de dicho acto al reliquidar una sanción por inexactitud mayor.</w:t>
      </w:r>
    </w:p>
    <w:p w14:paraId="7503C855"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 </w:t>
      </w:r>
    </w:p>
    <w:p w14:paraId="2D296695"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En lo demás, se confirma la sentencia de primera instancia.</w:t>
      </w:r>
    </w:p>
    <w:p w14:paraId="285125CA"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 </w:t>
      </w:r>
    </w:p>
    <w:p w14:paraId="4C23910C"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b/>
          <w:bCs/>
          <w:color w:val="000000"/>
          <w:sz w:val="22"/>
          <w:lang w:eastAsia="es-CO"/>
        </w:rPr>
        <w:t>No se condena en costas en esta instancia porque no están probadas.</w:t>
      </w:r>
    </w:p>
    <w:p w14:paraId="0B804AF6"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b/>
          <w:bCs/>
          <w:color w:val="000000"/>
          <w:sz w:val="22"/>
          <w:lang w:eastAsia="es-CO"/>
        </w:rPr>
        <w:t> </w:t>
      </w:r>
    </w:p>
    <w:p w14:paraId="53C86B6D"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18"/>
          <w:szCs w:val="18"/>
          <w:lang w:eastAsia="es-CO"/>
        </w:rPr>
        <w:t>La Sala advierte que no se condena en costas en esta instancia, pues conforme con el artículo 188 del CPACA</w:t>
      </w:r>
      <w:bookmarkStart w:id="6" w:name="_ftnref7"/>
      <w:r w:rsidRPr="00A7712E">
        <w:rPr>
          <w:rFonts w:ascii="Segoe UI" w:eastAsia="Times New Roman" w:hAnsi="Segoe UI" w:cs="Segoe UI"/>
          <w:color w:val="000000"/>
          <w:sz w:val="18"/>
          <w:szCs w:val="18"/>
          <w:lang w:eastAsia="es-CO"/>
        </w:rPr>
        <w:fldChar w:fldCharType="begin"/>
      </w:r>
      <w:r w:rsidRPr="00A7712E">
        <w:rPr>
          <w:rFonts w:ascii="Segoe UI" w:eastAsia="Times New Roman" w:hAnsi="Segoe UI" w:cs="Segoe UI"/>
          <w:color w:val="000000"/>
          <w:sz w:val="18"/>
          <w:szCs w:val="18"/>
          <w:lang w:eastAsia="es-CO"/>
        </w:rPr>
        <w:instrText xml:space="preserve"> HYPERLINK "https://www.ceta.org.co/html/vista_de_un_documento.asp?DocumentoID=44226" \l "_ftn7" \o "" </w:instrText>
      </w:r>
      <w:r w:rsidRPr="00A7712E">
        <w:rPr>
          <w:rFonts w:ascii="Segoe UI" w:eastAsia="Times New Roman" w:hAnsi="Segoe UI" w:cs="Segoe UI"/>
          <w:color w:val="000000"/>
          <w:sz w:val="18"/>
          <w:szCs w:val="18"/>
          <w:lang w:eastAsia="es-CO"/>
        </w:rPr>
        <w:fldChar w:fldCharType="separate"/>
      </w:r>
      <w:r w:rsidRPr="00A7712E">
        <w:rPr>
          <w:rFonts w:ascii="Segoe UI" w:eastAsia="Times New Roman" w:hAnsi="Segoe UI" w:cs="Segoe UI"/>
          <w:color w:val="0000FF"/>
          <w:sz w:val="22"/>
          <w:lang w:eastAsia="es-CO"/>
        </w:rPr>
        <w:t>[7]</w:t>
      </w:r>
      <w:r w:rsidRPr="00A7712E">
        <w:rPr>
          <w:rFonts w:ascii="Segoe UI" w:eastAsia="Times New Roman" w:hAnsi="Segoe UI" w:cs="Segoe UI"/>
          <w:color w:val="000000"/>
          <w:sz w:val="18"/>
          <w:szCs w:val="18"/>
          <w:lang w:eastAsia="es-CO"/>
        </w:rPr>
        <w:fldChar w:fldCharType="end"/>
      </w:r>
      <w:bookmarkEnd w:id="6"/>
      <w:r w:rsidRPr="00A7712E">
        <w:rPr>
          <w:rFonts w:ascii="Segoe UI" w:eastAsia="Times New Roman" w:hAnsi="Segoe UI" w:cs="Segoe UI"/>
          <w:color w:val="000000"/>
          <w:sz w:val="18"/>
          <w:szCs w:val="18"/>
          <w:lang w:eastAsia="es-CO"/>
        </w:rPr>
        <w:t>, en los procesos ante esta jurisdicción, la condena en costas, que según el artículo 361 del CGP incluye las agencias en derecho, se rige por las reglas previstas el artículo 365 del Código General del Proceso y una de estas reglas es la del numeral 8, según la cual “</w:t>
      </w:r>
      <w:r w:rsidRPr="00A7712E">
        <w:rPr>
          <w:rFonts w:ascii="Segoe UI" w:eastAsia="Times New Roman" w:hAnsi="Segoe UI" w:cs="Segoe UI"/>
          <w:i/>
          <w:iCs/>
          <w:color w:val="000000"/>
          <w:sz w:val="18"/>
          <w:szCs w:val="18"/>
          <w:lang w:eastAsia="es-CO"/>
        </w:rPr>
        <w:t>solo habrá lugar a costas cuando en el expediente aparezca que se causaron y en la medida de su comprobación”, </w:t>
      </w:r>
      <w:r w:rsidRPr="00A7712E">
        <w:rPr>
          <w:rFonts w:ascii="Segoe UI" w:eastAsia="Times New Roman" w:hAnsi="Segoe UI" w:cs="Segoe UI"/>
          <w:color w:val="000000"/>
          <w:sz w:val="18"/>
          <w:szCs w:val="18"/>
          <w:lang w:eastAsia="es-CO"/>
        </w:rPr>
        <w:t>requisito que no se cumple en este asunto.</w:t>
      </w:r>
    </w:p>
    <w:p w14:paraId="4ACE06F2"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 </w:t>
      </w:r>
    </w:p>
    <w:p w14:paraId="5CED3D4A"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En mérito de lo expuesto, el Consejo de Estado, Sala de lo Contencioso Administrativo, Sección Cuarta, administrando justicia en nombre de la República de Colombia y por autoridad de la ley,</w:t>
      </w:r>
    </w:p>
    <w:p w14:paraId="145535BF"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 </w:t>
      </w:r>
    </w:p>
    <w:p w14:paraId="23FBAF83" w14:textId="77777777" w:rsidR="00A7712E" w:rsidRPr="00A7712E" w:rsidRDefault="00A7712E" w:rsidP="00A7712E">
      <w:pPr>
        <w:spacing w:after="0" w:line="240" w:lineRule="auto"/>
        <w:jc w:val="center"/>
        <w:rPr>
          <w:rFonts w:ascii="Arial" w:eastAsia="Times New Roman" w:hAnsi="Arial" w:cs="Arial"/>
          <w:color w:val="000000"/>
          <w:sz w:val="18"/>
          <w:szCs w:val="18"/>
          <w:lang w:eastAsia="es-CO"/>
        </w:rPr>
      </w:pPr>
      <w:r w:rsidRPr="00A7712E">
        <w:rPr>
          <w:rFonts w:ascii="Segoe UI" w:eastAsia="Times New Roman" w:hAnsi="Segoe UI" w:cs="Segoe UI"/>
          <w:b/>
          <w:bCs/>
          <w:color w:val="000000"/>
          <w:sz w:val="22"/>
          <w:lang w:eastAsia="es-CO"/>
        </w:rPr>
        <w:t>FALLA</w:t>
      </w:r>
    </w:p>
    <w:p w14:paraId="0989073D"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b/>
          <w:bCs/>
          <w:color w:val="000000"/>
          <w:sz w:val="22"/>
          <w:lang w:eastAsia="es-CO"/>
        </w:rPr>
        <w:t> </w:t>
      </w:r>
    </w:p>
    <w:p w14:paraId="68E7700C"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b/>
          <w:bCs/>
          <w:color w:val="000000"/>
          <w:sz w:val="18"/>
          <w:szCs w:val="18"/>
          <w:lang w:eastAsia="es-CO"/>
        </w:rPr>
        <w:t>1. REVOCAR </w:t>
      </w:r>
      <w:r w:rsidRPr="00A7712E">
        <w:rPr>
          <w:rFonts w:ascii="Segoe UI" w:eastAsia="Times New Roman" w:hAnsi="Segoe UI" w:cs="Segoe UI"/>
          <w:color w:val="000000"/>
          <w:sz w:val="18"/>
          <w:szCs w:val="18"/>
          <w:lang w:eastAsia="es-CO"/>
        </w:rPr>
        <w:t>los numerales primero y segundo de la parte resolutiva de la sentencia apelada. En su lugar, dispone:</w:t>
      </w:r>
    </w:p>
    <w:p w14:paraId="11C261BE"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 </w:t>
      </w:r>
    </w:p>
    <w:p w14:paraId="692C6048" w14:textId="77777777" w:rsidR="00A7712E" w:rsidRPr="00A7712E" w:rsidRDefault="00A7712E" w:rsidP="00A7712E">
      <w:pPr>
        <w:spacing w:after="0" w:line="240" w:lineRule="auto"/>
        <w:ind w:left="284"/>
        <w:jc w:val="both"/>
        <w:rPr>
          <w:rFonts w:ascii="Arial" w:eastAsia="Times New Roman" w:hAnsi="Arial" w:cs="Arial"/>
          <w:color w:val="000000"/>
          <w:sz w:val="18"/>
          <w:szCs w:val="18"/>
          <w:lang w:eastAsia="es-CO"/>
        </w:rPr>
      </w:pPr>
      <w:r w:rsidRPr="00A7712E">
        <w:rPr>
          <w:rFonts w:ascii="Segoe UI" w:eastAsia="Times New Roman" w:hAnsi="Segoe UI" w:cs="Segoe UI"/>
          <w:b/>
          <w:bCs/>
          <w:color w:val="000000"/>
          <w:sz w:val="18"/>
          <w:szCs w:val="18"/>
          <w:lang w:eastAsia="es-CO"/>
        </w:rPr>
        <w:t>PRIMERO: NEGAR </w:t>
      </w:r>
      <w:r w:rsidRPr="00A7712E">
        <w:rPr>
          <w:rFonts w:ascii="Segoe UI" w:eastAsia="Times New Roman" w:hAnsi="Segoe UI" w:cs="Segoe UI"/>
          <w:color w:val="000000"/>
          <w:sz w:val="18"/>
          <w:szCs w:val="18"/>
          <w:lang w:eastAsia="es-CO"/>
        </w:rPr>
        <w:t>las pretensiones de la demanda.</w:t>
      </w:r>
    </w:p>
    <w:p w14:paraId="66769514"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 </w:t>
      </w:r>
    </w:p>
    <w:p w14:paraId="6E4201D2"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18"/>
          <w:szCs w:val="18"/>
          <w:lang w:eastAsia="es-CO"/>
        </w:rPr>
        <w:t>2. En lo demás</w:t>
      </w:r>
      <w:r w:rsidRPr="00A7712E">
        <w:rPr>
          <w:rFonts w:ascii="Segoe UI" w:eastAsia="Times New Roman" w:hAnsi="Segoe UI" w:cs="Segoe UI"/>
          <w:b/>
          <w:bCs/>
          <w:color w:val="000000"/>
          <w:sz w:val="18"/>
          <w:szCs w:val="18"/>
          <w:lang w:eastAsia="es-CO"/>
        </w:rPr>
        <w:t>, CONFIRMAR </w:t>
      </w:r>
      <w:r w:rsidRPr="00A7712E">
        <w:rPr>
          <w:rFonts w:ascii="Segoe UI" w:eastAsia="Times New Roman" w:hAnsi="Segoe UI" w:cs="Segoe UI"/>
          <w:color w:val="000000"/>
          <w:sz w:val="18"/>
          <w:szCs w:val="18"/>
          <w:lang w:eastAsia="es-CO"/>
        </w:rPr>
        <w:t>la sentencia apelada</w:t>
      </w:r>
      <w:r w:rsidRPr="00A7712E">
        <w:rPr>
          <w:rFonts w:ascii="Segoe UI" w:eastAsia="Times New Roman" w:hAnsi="Segoe UI" w:cs="Segoe UI"/>
          <w:b/>
          <w:bCs/>
          <w:color w:val="000000"/>
          <w:sz w:val="18"/>
          <w:szCs w:val="18"/>
          <w:lang w:eastAsia="es-CO"/>
        </w:rPr>
        <w:t>.</w:t>
      </w:r>
    </w:p>
    <w:p w14:paraId="754CC228"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b/>
          <w:bCs/>
          <w:color w:val="000000"/>
          <w:sz w:val="22"/>
          <w:lang w:eastAsia="es-CO"/>
        </w:rPr>
        <w:lastRenderedPageBreak/>
        <w:t> </w:t>
      </w:r>
    </w:p>
    <w:p w14:paraId="1CC175E4"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b/>
          <w:bCs/>
          <w:color w:val="000000"/>
          <w:sz w:val="18"/>
          <w:szCs w:val="18"/>
          <w:lang w:eastAsia="es-CO"/>
        </w:rPr>
        <w:t>3. NO CONDENAR </w:t>
      </w:r>
      <w:r w:rsidRPr="00A7712E">
        <w:rPr>
          <w:rFonts w:ascii="Segoe UI" w:eastAsia="Times New Roman" w:hAnsi="Segoe UI" w:cs="Segoe UI"/>
          <w:color w:val="000000"/>
          <w:sz w:val="18"/>
          <w:szCs w:val="18"/>
          <w:lang w:eastAsia="es-CO"/>
        </w:rPr>
        <w:t>en costas en esta instancia.</w:t>
      </w:r>
    </w:p>
    <w:p w14:paraId="44D45AF5"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 </w:t>
      </w:r>
    </w:p>
    <w:p w14:paraId="21B24C83"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Cópiese, notifíquese, devuélvase el expediente al Tribunal de origen. Cúmplase.</w:t>
      </w:r>
    </w:p>
    <w:p w14:paraId="502DF975"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 </w:t>
      </w:r>
    </w:p>
    <w:p w14:paraId="0EC7DC5E"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La anterior providencia se estudió y aprobó en sesión de la fecha.</w:t>
      </w:r>
    </w:p>
    <w:p w14:paraId="245DB3FA"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 </w:t>
      </w:r>
    </w:p>
    <w:p w14:paraId="39CE4FA5"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 </w:t>
      </w:r>
    </w:p>
    <w:p w14:paraId="3AD22DE8"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i/>
          <w:iCs/>
          <w:color w:val="000000"/>
          <w:sz w:val="18"/>
          <w:szCs w:val="18"/>
          <w:lang w:eastAsia="es-CO"/>
        </w:rPr>
        <w:t>(Firmado Electrónicamente)</w:t>
      </w:r>
    </w:p>
    <w:p w14:paraId="2C37E344"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b/>
          <w:bCs/>
          <w:color w:val="000000"/>
          <w:sz w:val="18"/>
          <w:szCs w:val="18"/>
          <w:lang w:eastAsia="es-CO"/>
        </w:rPr>
        <w:t>JULIO ROBERTO PIZA RODRÍGUEZ</w:t>
      </w:r>
    </w:p>
    <w:p w14:paraId="77167434"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Presidente de la Sección</w:t>
      </w:r>
    </w:p>
    <w:p w14:paraId="3374DA30"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 </w:t>
      </w:r>
    </w:p>
    <w:p w14:paraId="24E34179"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i/>
          <w:iCs/>
          <w:color w:val="000000"/>
          <w:sz w:val="22"/>
          <w:lang w:eastAsia="es-CO"/>
        </w:rPr>
        <w:t> </w:t>
      </w:r>
    </w:p>
    <w:p w14:paraId="3D539739"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i/>
          <w:iCs/>
          <w:color w:val="000000"/>
          <w:sz w:val="22"/>
          <w:lang w:eastAsia="es-CO"/>
        </w:rPr>
        <w:t>(Firmado Electrónicamente)</w:t>
      </w:r>
    </w:p>
    <w:p w14:paraId="4ADD3E7F"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b/>
          <w:bCs/>
          <w:color w:val="000000"/>
          <w:sz w:val="22"/>
          <w:lang w:eastAsia="es-CO"/>
        </w:rPr>
        <w:t>STELLA JEANNETTE CARVAJAL BASTO</w:t>
      </w:r>
    </w:p>
    <w:p w14:paraId="24B37158"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2"/>
          <w:lang w:eastAsia="es-CO"/>
        </w:rPr>
        <w:t> </w:t>
      </w:r>
    </w:p>
    <w:p w14:paraId="13100354"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i/>
          <w:iCs/>
          <w:color w:val="000000"/>
          <w:sz w:val="18"/>
          <w:szCs w:val="18"/>
          <w:lang w:eastAsia="es-CO"/>
        </w:rPr>
        <w:t> </w:t>
      </w:r>
    </w:p>
    <w:p w14:paraId="685C767E"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i/>
          <w:iCs/>
          <w:color w:val="000000"/>
          <w:sz w:val="18"/>
          <w:szCs w:val="18"/>
          <w:lang w:eastAsia="es-CO"/>
        </w:rPr>
        <w:t>(Firmado Electrónicamente)</w:t>
      </w:r>
    </w:p>
    <w:p w14:paraId="3E3ABCD4"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b/>
          <w:bCs/>
          <w:color w:val="000000"/>
          <w:sz w:val="18"/>
          <w:szCs w:val="18"/>
          <w:lang w:eastAsia="es-CO"/>
        </w:rPr>
        <w:t>MILTON CHAVES GARCÍA</w:t>
      </w:r>
    </w:p>
    <w:p w14:paraId="6E6AF0EC"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i/>
          <w:iCs/>
          <w:color w:val="000000"/>
          <w:sz w:val="18"/>
          <w:szCs w:val="18"/>
          <w:lang w:eastAsia="es-CO"/>
        </w:rPr>
        <w:t> </w:t>
      </w:r>
    </w:p>
    <w:p w14:paraId="17A97AC2"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i/>
          <w:iCs/>
          <w:color w:val="000000"/>
          <w:sz w:val="18"/>
          <w:szCs w:val="18"/>
          <w:lang w:eastAsia="es-CO"/>
        </w:rPr>
        <w:t> </w:t>
      </w:r>
    </w:p>
    <w:p w14:paraId="5BD7230A"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i/>
          <w:iCs/>
          <w:color w:val="000000"/>
          <w:sz w:val="18"/>
          <w:szCs w:val="18"/>
          <w:lang w:eastAsia="es-CO"/>
        </w:rPr>
        <w:t>(Firmado Electrónicamente)</w:t>
      </w:r>
    </w:p>
    <w:p w14:paraId="67682A2C"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b/>
          <w:bCs/>
          <w:color w:val="000000"/>
          <w:sz w:val="18"/>
          <w:szCs w:val="18"/>
          <w:lang w:eastAsia="es-CO"/>
        </w:rPr>
        <w:t>MYRIAM STELLA GUTIÉRREZ ARGÜELLO</w:t>
      </w:r>
    </w:p>
    <w:p w14:paraId="2226B746"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Arial" w:eastAsia="Times New Roman" w:hAnsi="Arial" w:cs="Arial"/>
          <w:color w:val="000000"/>
          <w:sz w:val="18"/>
          <w:szCs w:val="18"/>
          <w:lang w:eastAsia="es-CO"/>
        </w:rPr>
        <w:br w:type="textWrapping" w:clear="all"/>
      </w:r>
    </w:p>
    <w:p w14:paraId="4251B160"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Arial" w:eastAsia="Times New Roman" w:hAnsi="Arial" w:cs="Arial"/>
          <w:color w:val="000000"/>
          <w:sz w:val="18"/>
          <w:szCs w:val="18"/>
          <w:lang w:eastAsia="es-CO"/>
        </w:rPr>
        <w:pict w14:anchorId="61005B80">
          <v:rect id="_x0000_i1025" style="width:145.85pt;height:.6pt" o:hrpct="330" o:hrstd="t" o:hr="t" fillcolor="#a0a0a0" stroked="f"/>
        </w:pict>
      </w:r>
    </w:p>
    <w:bookmarkStart w:id="7" w:name="_ftn1"/>
    <w:p w14:paraId="530E8B83"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Arial" w:eastAsia="Times New Roman" w:hAnsi="Arial" w:cs="Arial"/>
          <w:color w:val="000000"/>
          <w:sz w:val="18"/>
          <w:szCs w:val="18"/>
          <w:lang w:eastAsia="es-CO"/>
        </w:rPr>
        <w:fldChar w:fldCharType="begin"/>
      </w:r>
      <w:r w:rsidRPr="00A7712E">
        <w:rPr>
          <w:rFonts w:ascii="Arial" w:eastAsia="Times New Roman" w:hAnsi="Arial" w:cs="Arial"/>
          <w:color w:val="000000"/>
          <w:sz w:val="18"/>
          <w:szCs w:val="18"/>
          <w:lang w:eastAsia="es-CO"/>
        </w:rPr>
        <w:instrText xml:space="preserve"> HYPERLINK "https://www.ceta.org.co/html/vista_de_un_documento.asp?DocumentoID=44226" \l "_ftnref1" \o "" </w:instrText>
      </w:r>
      <w:r w:rsidRPr="00A7712E">
        <w:rPr>
          <w:rFonts w:ascii="Arial" w:eastAsia="Times New Roman" w:hAnsi="Arial" w:cs="Arial"/>
          <w:color w:val="000000"/>
          <w:sz w:val="18"/>
          <w:szCs w:val="18"/>
          <w:lang w:eastAsia="es-CO"/>
        </w:rPr>
        <w:fldChar w:fldCharType="separate"/>
      </w:r>
      <w:r w:rsidRPr="00A7712E">
        <w:rPr>
          <w:rFonts w:ascii="Segoe UI" w:eastAsia="Times New Roman" w:hAnsi="Segoe UI" w:cs="Segoe UI"/>
          <w:color w:val="0000FF"/>
          <w:sz w:val="20"/>
          <w:szCs w:val="20"/>
          <w:lang w:eastAsia="es-CO"/>
        </w:rPr>
        <w:t>[1]</w:t>
      </w:r>
      <w:r w:rsidRPr="00A7712E">
        <w:rPr>
          <w:rFonts w:ascii="Arial" w:eastAsia="Times New Roman" w:hAnsi="Arial" w:cs="Arial"/>
          <w:color w:val="000000"/>
          <w:sz w:val="18"/>
          <w:szCs w:val="18"/>
          <w:lang w:eastAsia="es-CO"/>
        </w:rPr>
        <w:fldChar w:fldCharType="end"/>
      </w:r>
      <w:bookmarkEnd w:id="7"/>
      <w:r w:rsidRPr="00A7712E">
        <w:rPr>
          <w:rFonts w:ascii="Segoe UI" w:eastAsia="Times New Roman" w:hAnsi="Segoe UI" w:cs="Segoe UI"/>
          <w:color w:val="000000"/>
          <w:sz w:val="20"/>
          <w:szCs w:val="20"/>
          <w:lang w:eastAsia="es-CO"/>
        </w:rPr>
        <w:t> En la liquidación oficial de revisión, la DIAN precisó que </w:t>
      </w:r>
      <w:r w:rsidRPr="00A7712E">
        <w:rPr>
          <w:rFonts w:ascii="Segoe UI" w:eastAsia="Times New Roman" w:hAnsi="Segoe UI" w:cs="Segoe UI"/>
          <w:i/>
          <w:iCs/>
          <w:color w:val="000000"/>
          <w:sz w:val="20"/>
          <w:szCs w:val="20"/>
          <w:lang w:eastAsia="es-CO"/>
        </w:rPr>
        <w:t>“Se aclara que en el Requerimiento Especial se propuso el total de la renta ajustada en $45.186.000 y la diferencia patrimonial gravable en $1.532.728.000 (folio 216), siendo los valores correctos $70.895.000 y 1.507.019.000 respectivamente</w:t>
      </w:r>
      <w:r w:rsidRPr="00A7712E">
        <w:rPr>
          <w:rFonts w:ascii="Segoe UI" w:eastAsia="Times New Roman" w:hAnsi="Segoe UI" w:cs="Segoe UI"/>
          <w:color w:val="000000"/>
          <w:sz w:val="20"/>
          <w:szCs w:val="20"/>
          <w:lang w:eastAsia="es-CO"/>
        </w:rPr>
        <w:t>” y esos valores afectaron los posteriormente propuestos en dicho requerimiento por concepto de renta gravable, impuesto a cargo, sanción por inexactitud y saldo a pagar, que fueron mayores a los finalmente determinados en la liquidación oficial de revisión.</w:t>
      </w:r>
    </w:p>
    <w:p w14:paraId="700B000C"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0"/>
          <w:szCs w:val="20"/>
          <w:lang w:eastAsia="es-CO"/>
        </w:rPr>
        <w:t> </w:t>
      </w:r>
    </w:p>
    <w:bookmarkStart w:id="8" w:name="_ftn2"/>
    <w:p w14:paraId="710DB5EE"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Arial" w:eastAsia="Times New Roman" w:hAnsi="Arial" w:cs="Arial"/>
          <w:color w:val="000000"/>
          <w:sz w:val="18"/>
          <w:szCs w:val="18"/>
          <w:lang w:eastAsia="es-CO"/>
        </w:rPr>
        <w:fldChar w:fldCharType="begin"/>
      </w:r>
      <w:r w:rsidRPr="00A7712E">
        <w:rPr>
          <w:rFonts w:ascii="Arial" w:eastAsia="Times New Roman" w:hAnsi="Arial" w:cs="Arial"/>
          <w:color w:val="000000"/>
          <w:sz w:val="18"/>
          <w:szCs w:val="18"/>
          <w:lang w:eastAsia="es-CO"/>
        </w:rPr>
        <w:instrText xml:space="preserve"> HYPERLINK "https://www.ceta.org.co/html/vista_de_un_documento.asp?DocumentoID=44226" \l "_ftnref2" \o "" </w:instrText>
      </w:r>
      <w:r w:rsidRPr="00A7712E">
        <w:rPr>
          <w:rFonts w:ascii="Arial" w:eastAsia="Times New Roman" w:hAnsi="Arial" w:cs="Arial"/>
          <w:color w:val="000000"/>
          <w:sz w:val="18"/>
          <w:szCs w:val="18"/>
          <w:lang w:eastAsia="es-CO"/>
        </w:rPr>
        <w:fldChar w:fldCharType="separate"/>
      </w:r>
      <w:r w:rsidRPr="00A7712E">
        <w:rPr>
          <w:rFonts w:ascii="Segoe UI" w:eastAsia="Times New Roman" w:hAnsi="Segoe UI" w:cs="Segoe UI"/>
          <w:color w:val="0000FF"/>
          <w:sz w:val="20"/>
          <w:szCs w:val="20"/>
          <w:lang w:eastAsia="es-CO"/>
        </w:rPr>
        <w:t>[2]</w:t>
      </w:r>
      <w:r w:rsidRPr="00A7712E">
        <w:rPr>
          <w:rFonts w:ascii="Arial" w:eastAsia="Times New Roman" w:hAnsi="Arial" w:cs="Arial"/>
          <w:color w:val="000000"/>
          <w:sz w:val="18"/>
          <w:szCs w:val="18"/>
          <w:lang w:eastAsia="es-CO"/>
        </w:rPr>
        <w:fldChar w:fldCharType="end"/>
      </w:r>
      <w:bookmarkEnd w:id="8"/>
      <w:r w:rsidRPr="00A7712E">
        <w:rPr>
          <w:rFonts w:ascii="Segoe UI" w:eastAsia="Times New Roman" w:hAnsi="Segoe UI" w:cs="Segoe UI"/>
          <w:color w:val="000000"/>
          <w:sz w:val="20"/>
          <w:szCs w:val="20"/>
          <w:lang w:eastAsia="es-CO"/>
        </w:rPr>
        <w:t> Folios 2 y 3 cuaderno 1.</w:t>
      </w:r>
    </w:p>
    <w:p w14:paraId="3609691E"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0"/>
          <w:szCs w:val="20"/>
          <w:lang w:eastAsia="es-CO"/>
        </w:rPr>
        <w:t> </w:t>
      </w:r>
    </w:p>
    <w:bookmarkStart w:id="9" w:name="_ftn3"/>
    <w:p w14:paraId="22126EE7"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Arial" w:eastAsia="Times New Roman" w:hAnsi="Arial" w:cs="Arial"/>
          <w:color w:val="000000"/>
          <w:sz w:val="18"/>
          <w:szCs w:val="18"/>
          <w:lang w:eastAsia="es-CO"/>
        </w:rPr>
        <w:fldChar w:fldCharType="begin"/>
      </w:r>
      <w:r w:rsidRPr="00A7712E">
        <w:rPr>
          <w:rFonts w:ascii="Arial" w:eastAsia="Times New Roman" w:hAnsi="Arial" w:cs="Arial"/>
          <w:color w:val="000000"/>
          <w:sz w:val="18"/>
          <w:szCs w:val="18"/>
          <w:lang w:eastAsia="es-CO"/>
        </w:rPr>
        <w:instrText xml:space="preserve"> HYPERLINK "https://www.ceta.org.co/html/vista_de_un_documento.asp?DocumentoID=44226" \l "_ftnref3" \o "" </w:instrText>
      </w:r>
      <w:r w:rsidRPr="00A7712E">
        <w:rPr>
          <w:rFonts w:ascii="Arial" w:eastAsia="Times New Roman" w:hAnsi="Arial" w:cs="Arial"/>
          <w:color w:val="000000"/>
          <w:sz w:val="18"/>
          <w:szCs w:val="18"/>
          <w:lang w:eastAsia="es-CO"/>
        </w:rPr>
        <w:fldChar w:fldCharType="separate"/>
      </w:r>
      <w:r w:rsidRPr="00A7712E">
        <w:rPr>
          <w:rFonts w:ascii="Segoe UI" w:eastAsia="Times New Roman" w:hAnsi="Segoe UI" w:cs="Segoe UI"/>
          <w:color w:val="0000FF"/>
          <w:sz w:val="20"/>
          <w:szCs w:val="20"/>
          <w:lang w:eastAsia="es-CO"/>
        </w:rPr>
        <w:t>[3]</w:t>
      </w:r>
      <w:r w:rsidRPr="00A7712E">
        <w:rPr>
          <w:rFonts w:ascii="Arial" w:eastAsia="Times New Roman" w:hAnsi="Arial" w:cs="Arial"/>
          <w:color w:val="000000"/>
          <w:sz w:val="18"/>
          <w:szCs w:val="18"/>
          <w:lang w:eastAsia="es-CO"/>
        </w:rPr>
        <w:fldChar w:fldCharType="end"/>
      </w:r>
      <w:bookmarkEnd w:id="9"/>
      <w:r w:rsidRPr="00A7712E">
        <w:rPr>
          <w:rFonts w:ascii="Segoe UI" w:eastAsia="Times New Roman" w:hAnsi="Segoe UI" w:cs="Segoe UI"/>
          <w:color w:val="000000"/>
          <w:sz w:val="20"/>
          <w:szCs w:val="20"/>
          <w:lang w:eastAsia="es-CO"/>
        </w:rPr>
        <w:t> Se recuerda que en la liquidación oficial de revisión se fijó una sanción por inexactitud de $494.515.000 y un total saldo a pagar de $990.516.000.</w:t>
      </w:r>
    </w:p>
    <w:p w14:paraId="383566F0"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0"/>
          <w:szCs w:val="20"/>
          <w:lang w:eastAsia="es-CO"/>
        </w:rPr>
        <w:t> </w:t>
      </w:r>
    </w:p>
    <w:bookmarkStart w:id="10" w:name="_ftn4"/>
    <w:p w14:paraId="73BAE8EA"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Arial" w:eastAsia="Times New Roman" w:hAnsi="Arial" w:cs="Arial"/>
          <w:color w:val="000000"/>
          <w:sz w:val="18"/>
          <w:szCs w:val="18"/>
          <w:lang w:eastAsia="es-CO"/>
        </w:rPr>
        <w:fldChar w:fldCharType="begin"/>
      </w:r>
      <w:r w:rsidRPr="00A7712E">
        <w:rPr>
          <w:rFonts w:ascii="Arial" w:eastAsia="Times New Roman" w:hAnsi="Arial" w:cs="Arial"/>
          <w:color w:val="000000"/>
          <w:sz w:val="18"/>
          <w:szCs w:val="18"/>
          <w:lang w:eastAsia="es-CO"/>
        </w:rPr>
        <w:instrText xml:space="preserve"> HYPERLINK "https://www.ceta.org.co/html/vista_de_un_documento.asp?DocumentoID=44226" \l "_ftnref4" \o "" </w:instrText>
      </w:r>
      <w:r w:rsidRPr="00A7712E">
        <w:rPr>
          <w:rFonts w:ascii="Arial" w:eastAsia="Times New Roman" w:hAnsi="Arial" w:cs="Arial"/>
          <w:color w:val="000000"/>
          <w:sz w:val="18"/>
          <w:szCs w:val="18"/>
          <w:lang w:eastAsia="es-CO"/>
        </w:rPr>
        <w:fldChar w:fldCharType="separate"/>
      </w:r>
      <w:r w:rsidRPr="00A7712E">
        <w:rPr>
          <w:rFonts w:ascii="Segoe UI" w:eastAsia="Times New Roman" w:hAnsi="Segoe UI" w:cs="Segoe UI"/>
          <w:color w:val="0000FF"/>
          <w:sz w:val="20"/>
          <w:szCs w:val="20"/>
          <w:lang w:eastAsia="es-CO"/>
        </w:rPr>
        <w:t>[4]</w:t>
      </w:r>
      <w:r w:rsidRPr="00A7712E">
        <w:rPr>
          <w:rFonts w:ascii="Arial" w:eastAsia="Times New Roman" w:hAnsi="Arial" w:cs="Arial"/>
          <w:color w:val="000000"/>
          <w:sz w:val="18"/>
          <w:szCs w:val="18"/>
          <w:lang w:eastAsia="es-CO"/>
        </w:rPr>
        <w:fldChar w:fldCharType="end"/>
      </w:r>
      <w:bookmarkEnd w:id="10"/>
      <w:r w:rsidRPr="00A7712E">
        <w:rPr>
          <w:rFonts w:ascii="Segoe UI" w:eastAsia="Times New Roman" w:hAnsi="Segoe UI" w:cs="Segoe UI"/>
          <w:color w:val="000000"/>
          <w:sz w:val="20"/>
          <w:szCs w:val="20"/>
          <w:lang w:eastAsia="es-CO"/>
        </w:rPr>
        <w:t> SAMAI, cuaderno principal, página 52.</w:t>
      </w:r>
    </w:p>
    <w:p w14:paraId="64865024"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0"/>
          <w:szCs w:val="20"/>
          <w:lang w:eastAsia="es-CO"/>
        </w:rPr>
        <w:t> </w:t>
      </w:r>
    </w:p>
    <w:bookmarkStart w:id="11" w:name="_ftn5"/>
    <w:p w14:paraId="0FBD6E17"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Arial" w:eastAsia="Times New Roman" w:hAnsi="Arial" w:cs="Arial"/>
          <w:color w:val="000000"/>
          <w:sz w:val="18"/>
          <w:szCs w:val="18"/>
          <w:lang w:eastAsia="es-CO"/>
        </w:rPr>
        <w:fldChar w:fldCharType="begin"/>
      </w:r>
      <w:r w:rsidRPr="00A7712E">
        <w:rPr>
          <w:rFonts w:ascii="Arial" w:eastAsia="Times New Roman" w:hAnsi="Arial" w:cs="Arial"/>
          <w:color w:val="000000"/>
          <w:sz w:val="18"/>
          <w:szCs w:val="18"/>
          <w:lang w:eastAsia="es-CO"/>
        </w:rPr>
        <w:instrText xml:space="preserve"> HYPERLINK "https://www.ceta.org.co/html/vista_de_un_documento.asp?DocumentoID=44226" \l "_ftnref5" \o "" </w:instrText>
      </w:r>
      <w:r w:rsidRPr="00A7712E">
        <w:rPr>
          <w:rFonts w:ascii="Arial" w:eastAsia="Times New Roman" w:hAnsi="Arial" w:cs="Arial"/>
          <w:color w:val="000000"/>
          <w:sz w:val="18"/>
          <w:szCs w:val="18"/>
          <w:lang w:eastAsia="es-CO"/>
        </w:rPr>
        <w:fldChar w:fldCharType="separate"/>
      </w:r>
      <w:r w:rsidRPr="00A7712E">
        <w:rPr>
          <w:rFonts w:ascii="Segoe UI" w:eastAsia="Times New Roman" w:hAnsi="Segoe UI" w:cs="Segoe UI"/>
          <w:color w:val="0000FF"/>
          <w:sz w:val="20"/>
          <w:szCs w:val="20"/>
          <w:lang w:eastAsia="es-CO"/>
        </w:rPr>
        <w:t>[5]</w:t>
      </w:r>
      <w:r w:rsidRPr="00A7712E">
        <w:rPr>
          <w:rFonts w:ascii="Arial" w:eastAsia="Times New Roman" w:hAnsi="Arial" w:cs="Arial"/>
          <w:color w:val="000000"/>
          <w:sz w:val="18"/>
          <w:szCs w:val="18"/>
          <w:lang w:eastAsia="es-CO"/>
        </w:rPr>
        <w:fldChar w:fldCharType="end"/>
      </w:r>
      <w:bookmarkEnd w:id="11"/>
      <w:r w:rsidRPr="00A7712E">
        <w:rPr>
          <w:rFonts w:ascii="Segoe UI" w:eastAsia="Times New Roman" w:hAnsi="Segoe UI" w:cs="Segoe UI"/>
          <w:color w:val="000000"/>
          <w:sz w:val="20"/>
          <w:szCs w:val="20"/>
          <w:lang w:eastAsia="es-CO"/>
        </w:rPr>
        <w:t> SAMAI, cuaderno principal, página 35.</w:t>
      </w:r>
    </w:p>
    <w:p w14:paraId="7135293E"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0"/>
          <w:szCs w:val="20"/>
          <w:lang w:eastAsia="es-CO"/>
        </w:rPr>
        <w:t> </w:t>
      </w:r>
    </w:p>
    <w:bookmarkStart w:id="12" w:name="_ftn6"/>
    <w:p w14:paraId="1F7C14E7"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Arial" w:eastAsia="Times New Roman" w:hAnsi="Arial" w:cs="Arial"/>
          <w:color w:val="000000"/>
          <w:sz w:val="18"/>
          <w:szCs w:val="18"/>
          <w:lang w:eastAsia="es-CO"/>
        </w:rPr>
        <w:fldChar w:fldCharType="begin"/>
      </w:r>
      <w:r w:rsidRPr="00A7712E">
        <w:rPr>
          <w:rFonts w:ascii="Arial" w:eastAsia="Times New Roman" w:hAnsi="Arial" w:cs="Arial"/>
          <w:color w:val="000000"/>
          <w:sz w:val="18"/>
          <w:szCs w:val="18"/>
          <w:lang w:eastAsia="es-CO"/>
        </w:rPr>
        <w:instrText xml:space="preserve"> HYPERLINK "https://www.ceta.org.co/html/vista_de_un_documento.asp?DocumentoID=44226" \l "_ftnref6" \o "" </w:instrText>
      </w:r>
      <w:r w:rsidRPr="00A7712E">
        <w:rPr>
          <w:rFonts w:ascii="Arial" w:eastAsia="Times New Roman" w:hAnsi="Arial" w:cs="Arial"/>
          <w:color w:val="000000"/>
          <w:sz w:val="18"/>
          <w:szCs w:val="18"/>
          <w:lang w:eastAsia="es-CO"/>
        </w:rPr>
        <w:fldChar w:fldCharType="separate"/>
      </w:r>
      <w:r w:rsidRPr="00A7712E">
        <w:rPr>
          <w:rFonts w:ascii="Segoe UI" w:eastAsia="Times New Roman" w:hAnsi="Segoe UI" w:cs="Segoe UI"/>
          <w:color w:val="0000FF"/>
          <w:sz w:val="20"/>
          <w:szCs w:val="20"/>
          <w:lang w:eastAsia="es-CO"/>
        </w:rPr>
        <w:t>[6]</w:t>
      </w:r>
      <w:r w:rsidRPr="00A7712E">
        <w:rPr>
          <w:rFonts w:ascii="Arial" w:eastAsia="Times New Roman" w:hAnsi="Arial" w:cs="Arial"/>
          <w:color w:val="000000"/>
          <w:sz w:val="18"/>
          <w:szCs w:val="18"/>
          <w:lang w:eastAsia="es-CO"/>
        </w:rPr>
        <w:fldChar w:fldCharType="end"/>
      </w:r>
      <w:bookmarkEnd w:id="12"/>
      <w:r w:rsidRPr="00A7712E">
        <w:rPr>
          <w:rFonts w:ascii="Segoe UI" w:eastAsia="Times New Roman" w:hAnsi="Segoe UI" w:cs="Segoe UI"/>
          <w:color w:val="000000"/>
          <w:sz w:val="20"/>
          <w:szCs w:val="20"/>
          <w:lang w:eastAsia="es-CO"/>
        </w:rPr>
        <w:t xml:space="preserve"> Sobre el tema puede consultarse el auto del 5 de junio de 2014, C.P. Jorge Octavio Ramírez </w:t>
      </w:r>
      <w:proofErr w:type="spellStart"/>
      <w:r w:rsidRPr="00A7712E">
        <w:rPr>
          <w:rFonts w:ascii="Segoe UI" w:eastAsia="Times New Roman" w:hAnsi="Segoe UI" w:cs="Segoe UI"/>
          <w:color w:val="000000"/>
          <w:sz w:val="20"/>
          <w:szCs w:val="20"/>
          <w:lang w:eastAsia="es-CO"/>
        </w:rPr>
        <w:t>Ramírez</w:t>
      </w:r>
      <w:proofErr w:type="spellEnd"/>
      <w:r w:rsidRPr="00A7712E">
        <w:rPr>
          <w:rFonts w:ascii="Segoe UI" w:eastAsia="Times New Roman" w:hAnsi="Segoe UI" w:cs="Segoe UI"/>
          <w:color w:val="000000"/>
          <w:sz w:val="20"/>
          <w:szCs w:val="20"/>
          <w:lang w:eastAsia="es-CO"/>
        </w:rPr>
        <w:t>, expediente No. 19437, reiterado en la providencia del 14 de julio de 2017, C.P. Dra. Stella Jeannette Carvajal Basto, expediente No. 22908.</w:t>
      </w:r>
    </w:p>
    <w:p w14:paraId="763AB29D"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Segoe UI" w:eastAsia="Times New Roman" w:hAnsi="Segoe UI" w:cs="Segoe UI"/>
          <w:color w:val="000000"/>
          <w:sz w:val="20"/>
          <w:szCs w:val="20"/>
          <w:lang w:eastAsia="es-CO"/>
        </w:rPr>
        <w:t> </w:t>
      </w:r>
    </w:p>
    <w:bookmarkStart w:id="13" w:name="_ftn7"/>
    <w:p w14:paraId="44E322ED" w14:textId="77777777" w:rsidR="00A7712E" w:rsidRPr="00A7712E" w:rsidRDefault="00A7712E" w:rsidP="00A7712E">
      <w:pPr>
        <w:spacing w:after="0" w:line="240" w:lineRule="auto"/>
        <w:jc w:val="both"/>
        <w:rPr>
          <w:rFonts w:ascii="Arial" w:eastAsia="Times New Roman" w:hAnsi="Arial" w:cs="Arial"/>
          <w:color w:val="000000"/>
          <w:sz w:val="18"/>
          <w:szCs w:val="18"/>
          <w:lang w:eastAsia="es-CO"/>
        </w:rPr>
      </w:pPr>
      <w:r w:rsidRPr="00A7712E">
        <w:rPr>
          <w:rFonts w:ascii="Arial" w:eastAsia="Times New Roman" w:hAnsi="Arial" w:cs="Arial"/>
          <w:color w:val="000000"/>
          <w:sz w:val="18"/>
          <w:szCs w:val="18"/>
          <w:lang w:eastAsia="es-CO"/>
        </w:rPr>
        <w:fldChar w:fldCharType="begin"/>
      </w:r>
      <w:r w:rsidRPr="00A7712E">
        <w:rPr>
          <w:rFonts w:ascii="Arial" w:eastAsia="Times New Roman" w:hAnsi="Arial" w:cs="Arial"/>
          <w:color w:val="000000"/>
          <w:sz w:val="18"/>
          <w:szCs w:val="18"/>
          <w:lang w:eastAsia="es-CO"/>
        </w:rPr>
        <w:instrText xml:space="preserve"> HYPERLINK "https://www.ceta.org.co/html/vista_de_un_documento.asp?DocumentoID=44226" \l "_ftnref7" \o "" </w:instrText>
      </w:r>
      <w:r w:rsidRPr="00A7712E">
        <w:rPr>
          <w:rFonts w:ascii="Arial" w:eastAsia="Times New Roman" w:hAnsi="Arial" w:cs="Arial"/>
          <w:color w:val="000000"/>
          <w:sz w:val="18"/>
          <w:szCs w:val="18"/>
          <w:lang w:eastAsia="es-CO"/>
        </w:rPr>
        <w:fldChar w:fldCharType="separate"/>
      </w:r>
      <w:r w:rsidRPr="00A7712E">
        <w:rPr>
          <w:rFonts w:ascii="Segoe UI" w:eastAsia="Times New Roman" w:hAnsi="Segoe UI" w:cs="Segoe UI"/>
          <w:color w:val="0000FF"/>
          <w:sz w:val="20"/>
          <w:szCs w:val="20"/>
          <w:lang w:eastAsia="es-CO"/>
        </w:rPr>
        <w:t>[7]</w:t>
      </w:r>
      <w:r w:rsidRPr="00A7712E">
        <w:rPr>
          <w:rFonts w:ascii="Arial" w:eastAsia="Times New Roman" w:hAnsi="Arial" w:cs="Arial"/>
          <w:color w:val="000000"/>
          <w:sz w:val="18"/>
          <w:szCs w:val="18"/>
          <w:lang w:eastAsia="es-CO"/>
        </w:rPr>
        <w:fldChar w:fldCharType="end"/>
      </w:r>
      <w:bookmarkEnd w:id="13"/>
      <w:r w:rsidRPr="00A7712E">
        <w:rPr>
          <w:rFonts w:ascii="Segoe UI" w:eastAsia="Times New Roman" w:hAnsi="Segoe UI" w:cs="Segoe UI"/>
          <w:color w:val="000000"/>
          <w:sz w:val="20"/>
          <w:szCs w:val="20"/>
          <w:lang w:eastAsia="es-CO"/>
        </w:rPr>
        <w:t> CPACA. Art. 188. Condena en costas. “Salvo en los procesos en que se ventile un interés público, la sentencia dispondrá sobre la condena en costas, cuya liquidación y ejecución se regirán por las normas del Código de Procedimiento Civil”.</w:t>
      </w:r>
    </w:p>
    <w:p w14:paraId="4BF832EA"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12E"/>
    <w:rsid w:val="000F3837"/>
    <w:rsid w:val="001E311E"/>
    <w:rsid w:val="00434AE6"/>
    <w:rsid w:val="007F5CC8"/>
    <w:rsid w:val="008779BE"/>
    <w:rsid w:val="00A7712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9A1BF"/>
  <w15:chartTrackingRefBased/>
  <w15:docId w15:val="{4712CFF2-82F4-4032-BA09-FEFE8B82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451071">
      <w:bodyDiv w:val="1"/>
      <w:marLeft w:val="0"/>
      <w:marRight w:val="0"/>
      <w:marTop w:val="0"/>
      <w:marBottom w:val="0"/>
      <w:divBdr>
        <w:top w:val="none" w:sz="0" w:space="0" w:color="auto"/>
        <w:left w:val="none" w:sz="0" w:space="0" w:color="auto"/>
        <w:bottom w:val="none" w:sz="0" w:space="0" w:color="auto"/>
        <w:right w:val="none" w:sz="0" w:space="0" w:color="auto"/>
      </w:divBdr>
      <w:divsChild>
        <w:div w:id="27923281">
          <w:marLeft w:val="0"/>
          <w:marRight w:val="0"/>
          <w:marTop w:val="0"/>
          <w:marBottom w:val="0"/>
          <w:divBdr>
            <w:top w:val="none" w:sz="0" w:space="0" w:color="auto"/>
            <w:left w:val="none" w:sz="0" w:space="0" w:color="auto"/>
            <w:bottom w:val="none" w:sz="0" w:space="0" w:color="auto"/>
            <w:right w:val="none" w:sz="0" w:space="0" w:color="auto"/>
          </w:divBdr>
        </w:div>
        <w:div w:id="487212642">
          <w:marLeft w:val="0"/>
          <w:marRight w:val="0"/>
          <w:marTop w:val="0"/>
          <w:marBottom w:val="0"/>
          <w:divBdr>
            <w:top w:val="none" w:sz="0" w:space="0" w:color="auto"/>
            <w:left w:val="none" w:sz="0" w:space="0" w:color="auto"/>
            <w:bottom w:val="none" w:sz="0" w:space="0" w:color="auto"/>
            <w:right w:val="none" w:sz="0" w:space="0" w:color="auto"/>
          </w:divBdr>
        </w:div>
        <w:div w:id="1218468366">
          <w:marLeft w:val="0"/>
          <w:marRight w:val="0"/>
          <w:marTop w:val="0"/>
          <w:marBottom w:val="0"/>
          <w:divBdr>
            <w:top w:val="none" w:sz="0" w:space="0" w:color="auto"/>
            <w:left w:val="none" w:sz="0" w:space="0" w:color="auto"/>
            <w:bottom w:val="none" w:sz="0" w:space="0" w:color="auto"/>
            <w:right w:val="none" w:sz="0" w:space="0" w:color="auto"/>
          </w:divBdr>
        </w:div>
        <w:div w:id="1532498242">
          <w:marLeft w:val="0"/>
          <w:marRight w:val="0"/>
          <w:marTop w:val="0"/>
          <w:marBottom w:val="0"/>
          <w:divBdr>
            <w:top w:val="none" w:sz="0" w:space="0" w:color="auto"/>
            <w:left w:val="none" w:sz="0" w:space="0" w:color="auto"/>
            <w:bottom w:val="none" w:sz="0" w:space="0" w:color="auto"/>
            <w:right w:val="none" w:sz="0" w:space="0" w:color="auto"/>
          </w:divBdr>
        </w:div>
        <w:div w:id="611671811">
          <w:marLeft w:val="0"/>
          <w:marRight w:val="0"/>
          <w:marTop w:val="0"/>
          <w:marBottom w:val="0"/>
          <w:divBdr>
            <w:top w:val="none" w:sz="0" w:space="0" w:color="auto"/>
            <w:left w:val="none" w:sz="0" w:space="0" w:color="auto"/>
            <w:bottom w:val="none" w:sz="0" w:space="0" w:color="auto"/>
            <w:right w:val="none" w:sz="0" w:space="0" w:color="auto"/>
          </w:divBdr>
        </w:div>
        <w:div w:id="491262266">
          <w:marLeft w:val="0"/>
          <w:marRight w:val="0"/>
          <w:marTop w:val="0"/>
          <w:marBottom w:val="0"/>
          <w:divBdr>
            <w:top w:val="none" w:sz="0" w:space="0" w:color="auto"/>
            <w:left w:val="none" w:sz="0" w:space="0" w:color="auto"/>
            <w:bottom w:val="none" w:sz="0" w:space="0" w:color="auto"/>
            <w:right w:val="none" w:sz="0" w:space="0" w:color="auto"/>
          </w:divBdr>
        </w:div>
        <w:div w:id="1963725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954" TargetMode="External"/><Relationship Id="rId13" Type="http://schemas.openxmlformats.org/officeDocument/2006/relationships/hyperlink" Target="https://www.ceta.org.co/html/vista_de_un_articulo.asp?Norma=804" TargetMode="External"/><Relationship Id="rId18" Type="http://schemas.openxmlformats.org/officeDocument/2006/relationships/hyperlink" Target="https://www.ceta.org.co/html/vista_de_un_articulo.asp?Norma=805"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954" TargetMode="External"/><Relationship Id="rId12" Type="http://schemas.openxmlformats.org/officeDocument/2006/relationships/hyperlink" Target="https://www.ceta.org.co/html/vista_de_un_articulo.asp?Norma=804" TargetMode="External"/><Relationship Id="rId17" Type="http://schemas.openxmlformats.org/officeDocument/2006/relationships/hyperlink" Target="https://www.ceta.org.co/html/vista_de_un_articulo.asp?Norma=805" TargetMode="External"/><Relationship Id="rId2" Type="http://schemas.openxmlformats.org/officeDocument/2006/relationships/settings" Target="settings.xml"/><Relationship Id="rId16" Type="http://schemas.openxmlformats.org/officeDocument/2006/relationships/hyperlink" Target="https://www.ceta.org.co/html/vista_de_un_articulo.asp?Norma=795"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eta.org.co/html/vista_de_un_articulo.asp?Norma=850" TargetMode="External"/><Relationship Id="rId11" Type="http://schemas.openxmlformats.org/officeDocument/2006/relationships/hyperlink" Target="https://www.ceta.org.co/html/vista_de_un_articulo.asp?Norma=954" TargetMode="External"/><Relationship Id="rId5" Type="http://schemas.openxmlformats.org/officeDocument/2006/relationships/hyperlink" Target="https://www.ceta.org.co/html/vista_de_un_articulo.asp?Norma=360" TargetMode="External"/><Relationship Id="rId15" Type="http://schemas.openxmlformats.org/officeDocument/2006/relationships/hyperlink" Target="https://www.ceta.org.co/html/vista_de_un_articulo.asp?Norma=805" TargetMode="External"/><Relationship Id="rId10" Type="http://schemas.openxmlformats.org/officeDocument/2006/relationships/hyperlink" Target="https://www.ceta.org.co/html/vista_de_un_articulo.asp?Norma=954" TargetMode="External"/><Relationship Id="rId19" Type="http://schemas.openxmlformats.org/officeDocument/2006/relationships/fontTable" Target="fontTable.xml"/><Relationship Id="rId4" Type="http://schemas.openxmlformats.org/officeDocument/2006/relationships/hyperlink" Target="https://www.ceta.org.co/html/clases/DownloadManager.asp?file=Anexos/44226/25000-23-37-000-2017-01488-01%20%5b25462%5d.pdf" TargetMode="External"/><Relationship Id="rId9" Type="http://schemas.openxmlformats.org/officeDocument/2006/relationships/hyperlink" Target="https://www.ceta.org.co/html/vista_de_un_articulo.asp?Norma=208" TargetMode="External"/><Relationship Id="rId14" Type="http://schemas.openxmlformats.org/officeDocument/2006/relationships/hyperlink" Target="https://www.ceta.org.co/html/vista_de_un_articulo.asp?Norma=80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3237</Words>
  <Characters>17809</Characters>
  <Application>Microsoft Office Word</Application>
  <DocSecurity>0</DocSecurity>
  <Lines>148</Lines>
  <Paragraphs>42</Paragraphs>
  <ScaleCrop>false</ScaleCrop>
  <Company/>
  <LinksUpToDate>false</LinksUpToDate>
  <CharactersWithSpaces>21004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2022-06-25T00:46:00Z</dcterms:created>
  <dcterms:modified xsi:type="dcterms:W3CDTF">2022-06-25T00:48:00Z</dcterms:modified>
</cp:coreProperties>
</file>